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2F" w:rsidRPr="00B266BD" w:rsidRDefault="007569C0" w:rsidP="00B266BD">
      <w:pPr>
        <w:pStyle w:val="Heading1"/>
        <w:rPr>
          <w:sz w:val="36"/>
        </w:rPr>
      </w:pPr>
      <w:r>
        <w:rPr>
          <w:sz w:val="36"/>
        </w:rPr>
        <w:t>Retrospective genotyping:  PCR, lethality or infertility</w:t>
      </w:r>
      <w:r w:rsidR="00334406">
        <w:rPr>
          <w:sz w:val="36"/>
        </w:rPr>
        <w:t xml:space="preserve"> </w:t>
      </w:r>
    </w:p>
    <w:p w:rsidR="00F1412F" w:rsidRPr="00B266BD" w:rsidRDefault="00F1412F" w:rsidP="00F1412F">
      <w:pPr>
        <w:rPr>
          <w:rFonts w:asciiTheme="majorHAnsi" w:hAnsiTheme="majorHAnsi"/>
        </w:rPr>
      </w:pPr>
    </w:p>
    <w:p w:rsidR="00487032" w:rsidRDefault="00487032" w:rsidP="00B266BD">
      <w:pPr>
        <w:pStyle w:val="Heading3"/>
      </w:pPr>
      <w:r>
        <w:t>Introduction:</w:t>
      </w:r>
    </w:p>
    <w:p w:rsidR="001F7358" w:rsidRPr="0037749B" w:rsidRDefault="00487032" w:rsidP="001F7358">
      <w:r>
        <w:t xml:space="preserve">This procedure is usually performed to select for recombinant flies that have </w:t>
      </w:r>
      <w:r w:rsidR="00641903">
        <w:t xml:space="preserve">two or more genetic Elements Of Interest (EOI) such as a mutation, insertion, etc. on the same chromosome, </w:t>
      </w:r>
      <w:r w:rsidR="00194F13">
        <w:t>in which</w:t>
      </w:r>
      <w:r w:rsidR="00641903">
        <w:t xml:space="preserve"> one or more cannot be selected using a visible marker.  Note:  recombinants are on the same chromosome, but need not be on the same arm.  </w:t>
      </w:r>
      <w:r w:rsidR="00194F13">
        <w:t>To isolate the recombinant chromosome and make flies carrying it into a stock, a</w:t>
      </w:r>
      <w:r w:rsidR="00641903">
        <w:t xml:space="preserve"> standard recombination scheme is performed and individual males that may or may not carry the recombined chromosome are mated to a balancer.  </w:t>
      </w:r>
      <w:r w:rsidR="00194F13">
        <w:t>Potential stocks are then screened retrospectively to determine w</w:t>
      </w:r>
      <w:r w:rsidR="00D0731E">
        <w:t>hich have the element(s) of inte</w:t>
      </w:r>
      <w:r w:rsidR="00194F13">
        <w:t xml:space="preserve">rest.  </w:t>
      </w:r>
      <w:r w:rsidR="00641903">
        <w:t xml:space="preserve">The number of single-male crosses set up depends on how far apart the regions to be combined are from each other.  Map distances for genes can be found on the </w:t>
      </w:r>
      <w:proofErr w:type="spellStart"/>
      <w:r w:rsidR="00641903">
        <w:t>flybase</w:t>
      </w:r>
      <w:proofErr w:type="spellEnd"/>
      <w:r w:rsidR="00641903">
        <w:t xml:space="preserve"> website. </w:t>
      </w:r>
    </w:p>
    <w:p w:rsidR="00B266BD" w:rsidRDefault="00E750A4" w:rsidP="00B266BD">
      <w:pPr>
        <w:pStyle w:val="Heading3"/>
      </w:pPr>
      <w:r>
        <w:t>Preparation</w:t>
      </w:r>
      <w:r w:rsidR="00B266BD">
        <w:t>:</w:t>
      </w:r>
    </w:p>
    <w:p w:rsidR="00641903" w:rsidRDefault="00641903" w:rsidP="00245E06">
      <w:pPr>
        <w:pStyle w:val="ListParagraph"/>
        <w:numPr>
          <w:ilvl w:val="0"/>
          <w:numId w:val="3"/>
        </w:numPr>
      </w:pPr>
      <w:r>
        <w:t>Expand the stocks for collecting virgins</w:t>
      </w:r>
    </w:p>
    <w:p w:rsidR="00245E06" w:rsidRDefault="00641903" w:rsidP="00245E06">
      <w:pPr>
        <w:pStyle w:val="ListParagraph"/>
        <w:numPr>
          <w:ilvl w:val="0"/>
          <w:numId w:val="3"/>
        </w:numPr>
      </w:pPr>
      <w:r>
        <w:t>If possible, determine the map positions of the genetic elements to be recombined.</w:t>
      </w:r>
    </w:p>
    <w:p w:rsidR="00FC48A0" w:rsidRDefault="00262320" w:rsidP="00262320">
      <w:pPr>
        <w:pStyle w:val="Heading3"/>
      </w:pPr>
      <w:r>
        <w:t>Procedure:</w:t>
      </w:r>
    </w:p>
    <w:p w:rsidR="0021211B" w:rsidRDefault="00FC48A0" w:rsidP="00FC48A0">
      <w:r>
        <w:t>A</w:t>
      </w:r>
      <w:r w:rsidR="0021211B">
        <w:t xml:space="preserve"> typical crossing scheme is as follows:</w:t>
      </w:r>
    </w:p>
    <w:p w:rsidR="0021211B" w:rsidRDefault="0021211B" w:rsidP="00FC48A0"/>
    <w:tbl>
      <w:tblPr>
        <w:tblStyle w:val="TableGrid"/>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468"/>
        <w:gridCol w:w="2250"/>
        <w:gridCol w:w="270"/>
        <w:gridCol w:w="2250"/>
        <w:gridCol w:w="1710"/>
        <w:gridCol w:w="2178"/>
      </w:tblGrid>
      <w:tr w:rsidR="0021211B" w:rsidRPr="00734E20">
        <w:tc>
          <w:tcPr>
            <w:tcW w:w="468" w:type="dxa"/>
            <w:vAlign w:val="center"/>
          </w:tcPr>
          <w:p w:rsidR="0021211B" w:rsidRPr="00734E20" w:rsidRDefault="0021211B" w:rsidP="00641903">
            <w:pPr>
              <w:rPr>
                <w:sz w:val="20"/>
              </w:rPr>
            </w:pPr>
            <w:r>
              <w:rPr>
                <w:sz w:val="20"/>
              </w:rPr>
              <w:t>P</w:t>
            </w:r>
            <w:r w:rsidRPr="00FC48A0">
              <w:rPr>
                <w:sz w:val="20"/>
                <w:vertAlign w:val="subscript"/>
              </w:rPr>
              <w:t>0</w:t>
            </w:r>
          </w:p>
        </w:tc>
        <w:tc>
          <w:tcPr>
            <w:tcW w:w="2250" w:type="dxa"/>
            <w:vAlign w:val="center"/>
          </w:tcPr>
          <w:p w:rsidR="0021211B" w:rsidRPr="00734E20" w:rsidRDefault="0021211B" w:rsidP="00641903">
            <w:pPr>
              <w:rPr>
                <w:sz w:val="20"/>
              </w:rPr>
            </w:pPr>
            <w:r w:rsidRPr="00734E20">
              <w:rPr>
                <w:sz w:val="20"/>
              </w:rPr>
              <w:t>w</w:t>
            </w:r>
            <w:r w:rsidRPr="00734E20">
              <w:rPr>
                <w:sz w:val="20"/>
                <w:vertAlign w:val="superscript"/>
              </w:rPr>
              <w:t>-</w:t>
            </w:r>
            <w:r w:rsidRPr="00734E20">
              <w:rPr>
                <w:sz w:val="20"/>
              </w:rPr>
              <w:t xml:space="preserve">; </w:t>
            </w:r>
            <w:r>
              <w:rPr>
                <w:sz w:val="20"/>
              </w:rPr>
              <w:t>EOI (1)</w:t>
            </w:r>
            <w:r w:rsidRPr="00734E20">
              <w:rPr>
                <w:sz w:val="20"/>
              </w:rPr>
              <w:t>/</w:t>
            </w:r>
            <w:proofErr w:type="spellStart"/>
            <w:r w:rsidRPr="00734E20">
              <w:rPr>
                <w:sz w:val="20"/>
              </w:rPr>
              <w:t>CyO</w:t>
            </w:r>
            <w:proofErr w:type="spellEnd"/>
          </w:p>
        </w:tc>
        <w:tc>
          <w:tcPr>
            <w:tcW w:w="270" w:type="dxa"/>
            <w:vAlign w:val="center"/>
          </w:tcPr>
          <w:p w:rsidR="0021211B" w:rsidRPr="00734E20" w:rsidRDefault="0021211B" w:rsidP="00734E20">
            <w:pPr>
              <w:jc w:val="center"/>
              <w:rPr>
                <w:sz w:val="20"/>
              </w:rPr>
            </w:pPr>
            <w:r w:rsidRPr="00734E20">
              <w:rPr>
                <w:sz w:val="20"/>
              </w:rPr>
              <w:t>x</w:t>
            </w:r>
          </w:p>
        </w:tc>
        <w:tc>
          <w:tcPr>
            <w:tcW w:w="2250" w:type="dxa"/>
            <w:vAlign w:val="center"/>
          </w:tcPr>
          <w:p w:rsidR="0021211B" w:rsidRPr="00734E20" w:rsidRDefault="0021211B" w:rsidP="00641903">
            <w:pPr>
              <w:rPr>
                <w:sz w:val="20"/>
              </w:rPr>
            </w:pPr>
            <w:r w:rsidRPr="00734E20">
              <w:rPr>
                <w:sz w:val="20"/>
              </w:rPr>
              <w:t>w</w:t>
            </w:r>
            <w:r w:rsidRPr="00734E20">
              <w:rPr>
                <w:sz w:val="20"/>
                <w:vertAlign w:val="superscript"/>
              </w:rPr>
              <w:t>-</w:t>
            </w:r>
            <w:r w:rsidRPr="00734E20">
              <w:rPr>
                <w:sz w:val="20"/>
              </w:rPr>
              <w:t xml:space="preserve">; </w:t>
            </w:r>
            <w:r>
              <w:rPr>
                <w:sz w:val="20"/>
              </w:rPr>
              <w:t>EOI (2)</w:t>
            </w:r>
            <w:r w:rsidRPr="00734E20">
              <w:rPr>
                <w:sz w:val="20"/>
              </w:rPr>
              <w:t>/</w:t>
            </w:r>
            <w:proofErr w:type="spellStart"/>
            <w:r w:rsidRPr="00734E20">
              <w:rPr>
                <w:sz w:val="20"/>
              </w:rPr>
              <w:t>CyO</w:t>
            </w:r>
            <w:proofErr w:type="spellEnd"/>
          </w:p>
        </w:tc>
        <w:tc>
          <w:tcPr>
            <w:tcW w:w="1710" w:type="dxa"/>
            <w:vAlign w:val="center"/>
          </w:tcPr>
          <w:p w:rsidR="0021211B" w:rsidRPr="00734E20" w:rsidRDefault="0021211B" w:rsidP="00734E20">
            <w:pPr>
              <w:jc w:val="center"/>
              <w:rPr>
                <w:sz w:val="20"/>
              </w:rPr>
            </w:pPr>
            <w:r w:rsidRPr="00734E20">
              <w:rPr>
                <w:sz w:val="20"/>
              </w:rPr>
              <w:sym w:font="Wingdings" w:char="F0E0"/>
            </w:r>
          </w:p>
        </w:tc>
        <w:tc>
          <w:tcPr>
            <w:tcW w:w="2178" w:type="dxa"/>
            <w:vAlign w:val="center"/>
          </w:tcPr>
          <w:p w:rsidR="0021211B" w:rsidRPr="00734E20" w:rsidRDefault="0021211B" w:rsidP="001F7358">
            <w:pPr>
              <w:rPr>
                <w:sz w:val="20"/>
              </w:rPr>
            </w:pPr>
            <w:r w:rsidRPr="00734E20">
              <w:rPr>
                <w:sz w:val="20"/>
              </w:rPr>
              <w:t>select for straight-winged virgin females</w:t>
            </w:r>
          </w:p>
        </w:tc>
      </w:tr>
      <w:tr w:rsidR="007569C0" w:rsidRPr="00734E20">
        <w:tc>
          <w:tcPr>
            <w:tcW w:w="468" w:type="dxa"/>
            <w:vAlign w:val="center"/>
          </w:tcPr>
          <w:p w:rsidR="007569C0" w:rsidRDefault="007569C0" w:rsidP="00641903">
            <w:pPr>
              <w:rPr>
                <w:sz w:val="20"/>
              </w:rPr>
            </w:pPr>
          </w:p>
        </w:tc>
        <w:tc>
          <w:tcPr>
            <w:tcW w:w="2250" w:type="dxa"/>
            <w:vAlign w:val="center"/>
          </w:tcPr>
          <w:p w:rsidR="007569C0" w:rsidRPr="00734E20" w:rsidRDefault="007569C0" w:rsidP="00641903">
            <w:pPr>
              <w:rPr>
                <w:sz w:val="20"/>
              </w:rPr>
            </w:pPr>
          </w:p>
        </w:tc>
        <w:tc>
          <w:tcPr>
            <w:tcW w:w="270" w:type="dxa"/>
            <w:vAlign w:val="center"/>
          </w:tcPr>
          <w:p w:rsidR="007569C0" w:rsidRPr="00734E20" w:rsidRDefault="007569C0" w:rsidP="00734E20">
            <w:pPr>
              <w:jc w:val="center"/>
              <w:rPr>
                <w:sz w:val="20"/>
              </w:rPr>
            </w:pPr>
          </w:p>
        </w:tc>
        <w:tc>
          <w:tcPr>
            <w:tcW w:w="2250" w:type="dxa"/>
            <w:vAlign w:val="center"/>
          </w:tcPr>
          <w:p w:rsidR="007569C0" w:rsidRPr="00734E20" w:rsidRDefault="007569C0" w:rsidP="00641903">
            <w:pPr>
              <w:rPr>
                <w:sz w:val="20"/>
              </w:rPr>
            </w:pPr>
          </w:p>
        </w:tc>
        <w:tc>
          <w:tcPr>
            <w:tcW w:w="1710" w:type="dxa"/>
            <w:vAlign w:val="center"/>
          </w:tcPr>
          <w:p w:rsidR="007569C0" w:rsidRPr="00734E20" w:rsidRDefault="007569C0" w:rsidP="00734E20">
            <w:pPr>
              <w:jc w:val="center"/>
              <w:rPr>
                <w:sz w:val="20"/>
              </w:rPr>
            </w:pPr>
          </w:p>
        </w:tc>
        <w:tc>
          <w:tcPr>
            <w:tcW w:w="2178" w:type="dxa"/>
            <w:vAlign w:val="center"/>
          </w:tcPr>
          <w:p w:rsidR="007569C0" w:rsidRPr="00734E20" w:rsidRDefault="007569C0" w:rsidP="001F7358">
            <w:pPr>
              <w:rPr>
                <w:sz w:val="20"/>
              </w:rPr>
            </w:pPr>
          </w:p>
        </w:tc>
      </w:tr>
      <w:tr w:rsidR="0021211B" w:rsidRPr="00734E20">
        <w:tc>
          <w:tcPr>
            <w:tcW w:w="468" w:type="dxa"/>
            <w:vAlign w:val="center"/>
          </w:tcPr>
          <w:p w:rsidR="0021211B" w:rsidRPr="00FC48A0" w:rsidRDefault="0021211B" w:rsidP="00641903">
            <w:pPr>
              <w:rPr>
                <w:sz w:val="20"/>
              </w:rPr>
            </w:pPr>
            <w:r>
              <w:rPr>
                <w:sz w:val="20"/>
              </w:rPr>
              <w:t>F</w:t>
            </w:r>
            <w:r>
              <w:rPr>
                <w:sz w:val="20"/>
                <w:vertAlign w:val="subscript"/>
              </w:rPr>
              <w:t>1</w:t>
            </w:r>
          </w:p>
        </w:tc>
        <w:tc>
          <w:tcPr>
            <w:tcW w:w="2250" w:type="dxa"/>
            <w:vAlign w:val="center"/>
          </w:tcPr>
          <w:p w:rsidR="0021211B" w:rsidRPr="00734E20" w:rsidRDefault="0021211B" w:rsidP="00641903">
            <w:pPr>
              <w:rPr>
                <w:sz w:val="20"/>
              </w:rPr>
            </w:pPr>
            <w:r w:rsidRPr="00734E20">
              <w:rPr>
                <w:sz w:val="20"/>
              </w:rPr>
              <w:t>w</w:t>
            </w:r>
            <w:r w:rsidRPr="00734E20">
              <w:rPr>
                <w:sz w:val="20"/>
                <w:vertAlign w:val="superscript"/>
              </w:rPr>
              <w:t>-</w:t>
            </w:r>
            <w:r w:rsidRPr="00734E20">
              <w:rPr>
                <w:sz w:val="20"/>
              </w:rPr>
              <w:t xml:space="preserve">; </w:t>
            </w:r>
            <w:r>
              <w:rPr>
                <w:sz w:val="20"/>
              </w:rPr>
              <w:t>EOI (1)</w:t>
            </w:r>
            <w:r w:rsidRPr="00734E20">
              <w:rPr>
                <w:sz w:val="20"/>
              </w:rPr>
              <w:t>/</w:t>
            </w:r>
            <w:r>
              <w:rPr>
                <w:sz w:val="20"/>
              </w:rPr>
              <w:t>EOI (2)</w:t>
            </w:r>
          </w:p>
        </w:tc>
        <w:tc>
          <w:tcPr>
            <w:tcW w:w="270" w:type="dxa"/>
            <w:vAlign w:val="center"/>
          </w:tcPr>
          <w:p w:rsidR="0021211B" w:rsidRPr="00734E20" w:rsidRDefault="0021211B" w:rsidP="00734E20">
            <w:pPr>
              <w:jc w:val="center"/>
              <w:rPr>
                <w:sz w:val="20"/>
              </w:rPr>
            </w:pPr>
            <w:r w:rsidRPr="00734E20">
              <w:rPr>
                <w:sz w:val="20"/>
              </w:rPr>
              <w:t>x</w:t>
            </w:r>
          </w:p>
        </w:tc>
        <w:tc>
          <w:tcPr>
            <w:tcW w:w="2250" w:type="dxa"/>
            <w:vAlign w:val="center"/>
          </w:tcPr>
          <w:p w:rsidR="0021211B" w:rsidRPr="00734E20" w:rsidRDefault="0021211B" w:rsidP="001F7358">
            <w:pPr>
              <w:rPr>
                <w:sz w:val="20"/>
              </w:rPr>
            </w:pPr>
            <w:r w:rsidRPr="00734E20">
              <w:rPr>
                <w:sz w:val="20"/>
              </w:rPr>
              <w:t>w</w:t>
            </w:r>
            <w:r w:rsidRPr="00734E20">
              <w:rPr>
                <w:sz w:val="20"/>
                <w:vertAlign w:val="superscript"/>
              </w:rPr>
              <w:t>-</w:t>
            </w:r>
            <w:r w:rsidRPr="00734E20">
              <w:rPr>
                <w:sz w:val="20"/>
              </w:rPr>
              <w:t xml:space="preserve">;  </w:t>
            </w:r>
            <w:proofErr w:type="spellStart"/>
            <w:r w:rsidRPr="00734E20">
              <w:rPr>
                <w:sz w:val="20"/>
              </w:rPr>
              <w:t>sco/CyO</w:t>
            </w:r>
            <w:proofErr w:type="spellEnd"/>
          </w:p>
        </w:tc>
        <w:tc>
          <w:tcPr>
            <w:tcW w:w="1710" w:type="dxa"/>
            <w:vAlign w:val="center"/>
          </w:tcPr>
          <w:p w:rsidR="0021211B" w:rsidRPr="00734E20" w:rsidRDefault="0021211B" w:rsidP="00734E20">
            <w:pPr>
              <w:jc w:val="center"/>
              <w:rPr>
                <w:sz w:val="20"/>
              </w:rPr>
            </w:pPr>
            <w:r w:rsidRPr="00734E20">
              <w:rPr>
                <w:sz w:val="20"/>
              </w:rPr>
              <w:sym w:font="Wingdings" w:char="F0E0"/>
            </w:r>
          </w:p>
          <w:p w:rsidR="0021211B" w:rsidRPr="00734E20" w:rsidRDefault="0021211B" w:rsidP="00734E20">
            <w:pPr>
              <w:jc w:val="center"/>
              <w:rPr>
                <w:sz w:val="20"/>
              </w:rPr>
            </w:pPr>
          </w:p>
        </w:tc>
        <w:tc>
          <w:tcPr>
            <w:tcW w:w="2178" w:type="dxa"/>
            <w:vAlign w:val="center"/>
          </w:tcPr>
          <w:p w:rsidR="0021211B" w:rsidRPr="00734E20" w:rsidRDefault="0021211B" w:rsidP="00F008C6">
            <w:pPr>
              <w:rPr>
                <w:sz w:val="20"/>
              </w:rPr>
            </w:pPr>
            <w:r w:rsidRPr="00734E20">
              <w:rPr>
                <w:sz w:val="20"/>
              </w:rPr>
              <w:t xml:space="preserve">select </w:t>
            </w:r>
            <w:r>
              <w:rPr>
                <w:sz w:val="20"/>
              </w:rPr>
              <w:t>curly-winged males</w:t>
            </w:r>
          </w:p>
        </w:tc>
      </w:tr>
      <w:tr w:rsidR="007569C0" w:rsidRPr="00734E20">
        <w:tc>
          <w:tcPr>
            <w:tcW w:w="468" w:type="dxa"/>
            <w:vAlign w:val="center"/>
          </w:tcPr>
          <w:p w:rsidR="007569C0" w:rsidRDefault="007569C0" w:rsidP="00641903">
            <w:pPr>
              <w:rPr>
                <w:sz w:val="20"/>
              </w:rPr>
            </w:pPr>
          </w:p>
        </w:tc>
        <w:tc>
          <w:tcPr>
            <w:tcW w:w="2250" w:type="dxa"/>
            <w:vAlign w:val="center"/>
          </w:tcPr>
          <w:p w:rsidR="007569C0" w:rsidRPr="00734E20" w:rsidRDefault="007569C0" w:rsidP="00641903">
            <w:pPr>
              <w:rPr>
                <w:sz w:val="20"/>
              </w:rPr>
            </w:pPr>
          </w:p>
        </w:tc>
        <w:tc>
          <w:tcPr>
            <w:tcW w:w="270" w:type="dxa"/>
            <w:vAlign w:val="center"/>
          </w:tcPr>
          <w:p w:rsidR="007569C0" w:rsidRPr="00734E20" w:rsidRDefault="007569C0" w:rsidP="00734E20">
            <w:pPr>
              <w:jc w:val="center"/>
              <w:rPr>
                <w:sz w:val="20"/>
              </w:rPr>
            </w:pPr>
          </w:p>
        </w:tc>
        <w:tc>
          <w:tcPr>
            <w:tcW w:w="2250" w:type="dxa"/>
            <w:vAlign w:val="center"/>
          </w:tcPr>
          <w:p w:rsidR="007569C0" w:rsidRPr="00734E20" w:rsidRDefault="007569C0" w:rsidP="001F7358">
            <w:pPr>
              <w:rPr>
                <w:sz w:val="20"/>
              </w:rPr>
            </w:pPr>
          </w:p>
        </w:tc>
        <w:tc>
          <w:tcPr>
            <w:tcW w:w="1710" w:type="dxa"/>
            <w:vAlign w:val="center"/>
          </w:tcPr>
          <w:p w:rsidR="007569C0" w:rsidRPr="00734E20" w:rsidRDefault="007569C0" w:rsidP="00734E20">
            <w:pPr>
              <w:jc w:val="center"/>
              <w:rPr>
                <w:sz w:val="20"/>
              </w:rPr>
            </w:pPr>
          </w:p>
        </w:tc>
        <w:tc>
          <w:tcPr>
            <w:tcW w:w="2178" w:type="dxa"/>
            <w:vAlign w:val="center"/>
          </w:tcPr>
          <w:p w:rsidR="007569C0" w:rsidRPr="00734E20" w:rsidRDefault="007569C0" w:rsidP="00F008C6">
            <w:pPr>
              <w:rPr>
                <w:sz w:val="20"/>
              </w:rPr>
            </w:pPr>
          </w:p>
        </w:tc>
      </w:tr>
      <w:tr w:rsidR="0021211B" w:rsidRPr="00734E20">
        <w:tc>
          <w:tcPr>
            <w:tcW w:w="468" w:type="dxa"/>
            <w:vAlign w:val="center"/>
          </w:tcPr>
          <w:p w:rsidR="0021211B" w:rsidRPr="00FC48A0" w:rsidRDefault="0021211B" w:rsidP="00641903">
            <w:pPr>
              <w:rPr>
                <w:sz w:val="20"/>
              </w:rPr>
            </w:pPr>
            <w:r>
              <w:rPr>
                <w:sz w:val="20"/>
              </w:rPr>
              <w:t>F</w:t>
            </w:r>
            <w:r>
              <w:rPr>
                <w:sz w:val="20"/>
                <w:vertAlign w:val="subscript"/>
              </w:rPr>
              <w:t>2</w:t>
            </w:r>
          </w:p>
        </w:tc>
        <w:tc>
          <w:tcPr>
            <w:tcW w:w="2250" w:type="dxa"/>
            <w:vAlign w:val="center"/>
          </w:tcPr>
          <w:p w:rsidR="0021211B" w:rsidRPr="00734E20" w:rsidRDefault="0021211B" w:rsidP="007569C0">
            <w:pPr>
              <w:rPr>
                <w:sz w:val="20"/>
              </w:rPr>
            </w:pPr>
            <w:r>
              <w:rPr>
                <w:sz w:val="20"/>
              </w:rPr>
              <w:t>w; EOI (1), EOI (2)/</w:t>
            </w:r>
            <w:proofErr w:type="spellStart"/>
            <w:r>
              <w:rPr>
                <w:sz w:val="20"/>
              </w:rPr>
              <w:t>CyO</w:t>
            </w:r>
            <w:proofErr w:type="spellEnd"/>
            <w:r>
              <w:rPr>
                <w:sz w:val="20"/>
              </w:rPr>
              <w:t xml:space="preserve"> (single male</w:t>
            </w:r>
            <w:r w:rsidR="007569C0">
              <w:rPr>
                <w:sz w:val="20"/>
                <w:vertAlign w:val="superscript"/>
              </w:rPr>
              <w:t>1</w:t>
            </w:r>
            <w:r>
              <w:rPr>
                <w:sz w:val="20"/>
              </w:rPr>
              <w:t>)</w:t>
            </w:r>
          </w:p>
        </w:tc>
        <w:tc>
          <w:tcPr>
            <w:tcW w:w="270" w:type="dxa"/>
            <w:vAlign w:val="center"/>
          </w:tcPr>
          <w:p w:rsidR="0021211B" w:rsidRPr="00734E20" w:rsidRDefault="0021211B" w:rsidP="00734E20">
            <w:pPr>
              <w:jc w:val="center"/>
              <w:rPr>
                <w:sz w:val="20"/>
              </w:rPr>
            </w:pPr>
            <w:r>
              <w:rPr>
                <w:sz w:val="20"/>
              </w:rPr>
              <w:t>x</w:t>
            </w:r>
          </w:p>
        </w:tc>
        <w:tc>
          <w:tcPr>
            <w:tcW w:w="2250" w:type="dxa"/>
            <w:vAlign w:val="center"/>
          </w:tcPr>
          <w:p w:rsidR="0021211B" w:rsidRDefault="0021211B" w:rsidP="00641903">
            <w:pPr>
              <w:rPr>
                <w:sz w:val="20"/>
              </w:rPr>
            </w:pPr>
            <w:r>
              <w:rPr>
                <w:sz w:val="20"/>
              </w:rPr>
              <w:t xml:space="preserve">w; </w:t>
            </w:r>
            <w:proofErr w:type="spellStart"/>
            <w:r>
              <w:rPr>
                <w:sz w:val="20"/>
              </w:rPr>
              <w:t>sco/CyO</w:t>
            </w:r>
            <w:proofErr w:type="spellEnd"/>
            <w:r>
              <w:rPr>
                <w:sz w:val="20"/>
              </w:rPr>
              <w:t xml:space="preserve"> </w:t>
            </w:r>
          </w:p>
          <w:p w:rsidR="0021211B" w:rsidRPr="00734E20" w:rsidRDefault="0021211B" w:rsidP="00641903">
            <w:pPr>
              <w:rPr>
                <w:sz w:val="20"/>
              </w:rPr>
            </w:pPr>
            <w:r>
              <w:rPr>
                <w:sz w:val="20"/>
              </w:rPr>
              <w:t>(virgin female)</w:t>
            </w:r>
          </w:p>
        </w:tc>
        <w:tc>
          <w:tcPr>
            <w:tcW w:w="1710" w:type="dxa"/>
            <w:vAlign w:val="center"/>
          </w:tcPr>
          <w:p w:rsidR="0021211B" w:rsidRDefault="0021211B" w:rsidP="00734E20">
            <w:pPr>
              <w:jc w:val="center"/>
              <w:rPr>
                <w:sz w:val="20"/>
              </w:rPr>
            </w:pPr>
            <w:r w:rsidRPr="00734E20">
              <w:rPr>
                <w:sz w:val="20"/>
              </w:rPr>
              <w:sym w:font="Wingdings" w:char="F0E0"/>
            </w:r>
            <w:r>
              <w:rPr>
                <w:sz w:val="20"/>
              </w:rPr>
              <w:t xml:space="preserve"> </w:t>
            </w:r>
          </w:p>
          <w:p w:rsidR="007569C0" w:rsidRDefault="00DD0AFE" w:rsidP="007569C0">
            <w:pPr>
              <w:jc w:val="center"/>
              <w:rPr>
                <w:sz w:val="20"/>
              </w:rPr>
            </w:pPr>
            <w:r>
              <w:rPr>
                <w:sz w:val="20"/>
              </w:rPr>
              <w:t>Screen single males by PCR</w:t>
            </w:r>
            <w:r w:rsidR="00546CD8">
              <w:rPr>
                <w:sz w:val="20"/>
              </w:rPr>
              <w:t>,</w:t>
            </w:r>
            <w:r w:rsidR="007569C0">
              <w:rPr>
                <w:sz w:val="20"/>
              </w:rPr>
              <w:t xml:space="preserve"> </w:t>
            </w:r>
          </w:p>
          <w:p w:rsidR="0021211B" w:rsidRPr="00734E20" w:rsidRDefault="007569C0" w:rsidP="007569C0">
            <w:pPr>
              <w:jc w:val="center"/>
              <w:rPr>
                <w:sz w:val="20"/>
              </w:rPr>
            </w:pPr>
            <w:r>
              <w:rPr>
                <w:sz w:val="20"/>
              </w:rPr>
              <w:t>if appl</w:t>
            </w:r>
            <w:r w:rsidR="00546CD8">
              <w:rPr>
                <w:sz w:val="20"/>
              </w:rPr>
              <w:t>icable</w:t>
            </w:r>
            <w:r>
              <w:rPr>
                <w:sz w:val="20"/>
                <w:vertAlign w:val="superscript"/>
              </w:rPr>
              <w:t>2</w:t>
            </w:r>
          </w:p>
        </w:tc>
        <w:tc>
          <w:tcPr>
            <w:tcW w:w="2178" w:type="dxa"/>
            <w:vAlign w:val="center"/>
          </w:tcPr>
          <w:p w:rsidR="0021211B" w:rsidRPr="00734E20" w:rsidRDefault="0021211B" w:rsidP="007569C0">
            <w:pPr>
              <w:rPr>
                <w:sz w:val="20"/>
              </w:rPr>
            </w:pPr>
            <w:r>
              <w:rPr>
                <w:sz w:val="20"/>
              </w:rPr>
              <w:t>Select curly-winged, normal-bristled males and females</w:t>
            </w:r>
            <w:r w:rsidR="007569C0">
              <w:rPr>
                <w:sz w:val="20"/>
                <w:vertAlign w:val="superscript"/>
              </w:rPr>
              <w:t>3</w:t>
            </w:r>
            <w:r>
              <w:rPr>
                <w:sz w:val="20"/>
              </w:rPr>
              <w:t xml:space="preserve"> </w:t>
            </w:r>
          </w:p>
        </w:tc>
      </w:tr>
      <w:tr w:rsidR="007569C0" w:rsidRPr="00734E20">
        <w:tc>
          <w:tcPr>
            <w:tcW w:w="468" w:type="dxa"/>
            <w:vAlign w:val="center"/>
          </w:tcPr>
          <w:p w:rsidR="007569C0" w:rsidRDefault="007569C0" w:rsidP="00641903">
            <w:pPr>
              <w:rPr>
                <w:sz w:val="20"/>
              </w:rPr>
            </w:pPr>
          </w:p>
        </w:tc>
        <w:tc>
          <w:tcPr>
            <w:tcW w:w="2250" w:type="dxa"/>
            <w:vAlign w:val="center"/>
          </w:tcPr>
          <w:p w:rsidR="007569C0" w:rsidRDefault="007569C0" w:rsidP="007569C0">
            <w:pPr>
              <w:rPr>
                <w:sz w:val="20"/>
              </w:rPr>
            </w:pPr>
          </w:p>
        </w:tc>
        <w:tc>
          <w:tcPr>
            <w:tcW w:w="270" w:type="dxa"/>
            <w:vAlign w:val="center"/>
          </w:tcPr>
          <w:p w:rsidR="007569C0" w:rsidRDefault="007569C0" w:rsidP="00734E20">
            <w:pPr>
              <w:jc w:val="center"/>
              <w:rPr>
                <w:sz w:val="20"/>
              </w:rPr>
            </w:pPr>
          </w:p>
        </w:tc>
        <w:tc>
          <w:tcPr>
            <w:tcW w:w="2250" w:type="dxa"/>
            <w:vAlign w:val="center"/>
          </w:tcPr>
          <w:p w:rsidR="007569C0" w:rsidRDefault="007569C0" w:rsidP="00641903">
            <w:pPr>
              <w:rPr>
                <w:sz w:val="20"/>
              </w:rPr>
            </w:pPr>
          </w:p>
        </w:tc>
        <w:tc>
          <w:tcPr>
            <w:tcW w:w="1710" w:type="dxa"/>
            <w:vAlign w:val="center"/>
          </w:tcPr>
          <w:p w:rsidR="007569C0" w:rsidRPr="00734E20" w:rsidRDefault="007569C0" w:rsidP="00734E20">
            <w:pPr>
              <w:jc w:val="center"/>
              <w:rPr>
                <w:sz w:val="20"/>
              </w:rPr>
            </w:pPr>
          </w:p>
        </w:tc>
        <w:tc>
          <w:tcPr>
            <w:tcW w:w="2178" w:type="dxa"/>
            <w:vAlign w:val="center"/>
          </w:tcPr>
          <w:p w:rsidR="007569C0" w:rsidRDefault="007569C0" w:rsidP="007569C0">
            <w:pPr>
              <w:rPr>
                <w:sz w:val="20"/>
              </w:rPr>
            </w:pPr>
          </w:p>
        </w:tc>
      </w:tr>
      <w:tr w:rsidR="0021211B" w:rsidRPr="00734E20">
        <w:tc>
          <w:tcPr>
            <w:tcW w:w="468" w:type="dxa"/>
            <w:vAlign w:val="center"/>
          </w:tcPr>
          <w:p w:rsidR="0021211B" w:rsidRPr="00FC48A0" w:rsidRDefault="0021211B" w:rsidP="00641903">
            <w:pPr>
              <w:rPr>
                <w:sz w:val="20"/>
              </w:rPr>
            </w:pPr>
            <w:r>
              <w:rPr>
                <w:sz w:val="20"/>
              </w:rPr>
              <w:t>F</w:t>
            </w:r>
            <w:r>
              <w:rPr>
                <w:sz w:val="20"/>
                <w:vertAlign w:val="subscript"/>
              </w:rPr>
              <w:t>3</w:t>
            </w:r>
          </w:p>
        </w:tc>
        <w:tc>
          <w:tcPr>
            <w:tcW w:w="2250" w:type="dxa"/>
            <w:vAlign w:val="center"/>
          </w:tcPr>
          <w:p w:rsidR="0021211B" w:rsidRDefault="0021211B" w:rsidP="00641903">
            <w:pPr>
              <w:rPr>
                <w:sz w:val="20"/>
              </w:rPr>
            </w:pPr>
            <w:r>
              <w:rPr>
                <w:sz w:val="20"/>
              </w:rPr>
              <w:t>w; EOI (1), EOI (2)/</w:t>
            </w:r>
            <w:proofErr w:type="spellStart"/>
            <w:r>
              <w:rPr>
                <w:sz w:val="20"/>
              </w:rPr>
              <w:t>CyO</w:t>
            </w:r>
            <w:proofErr w:type="spellEnd"/>
          </w:p>
        </w:tc>
        <w:tc>
          <w:tcPr>
            <w:tcW w:w="270" w:type="dxa"/>
            <w:vAlign w:val="center"/>
          </w:tcPr>
          <w:p w:rsidR="0021211B" w:rsidRDefault="0021211B" w:rsidP="00734E20">
            <w:pPr>
              <w:jc w:val="center"/>
              <w:rPr>
                <w:sz w:val="20"/>
              </w:rPr>
            </w:pPr>
            <w:r>
              <w:rPr>
                <w:sz w:val="20"/>
              </w:rPr>
              <w:t>x</w:t>
            </w:r>
          </w:p>
        </w:tc>
        <w:tc>
          <w:tcPr>
            <w:tcW w:w="2250" w:type="dxa"/>
            <w:vAlign w:val="center"/>
          </w:tcPr>
          <w:p w:rsidR="0021211B" w:rsidRDefault="0021211B" w:rsidP="00641903">
            <w:pPr>
              <w:rPr>
                <w:sz w:val="20"/>
              </w:rPr>
            </w:pPr>
            <w:r>
              <w:rPr>
                <w:sz w:val="20"/>
              </w:rPr>
              <w:t>w; EOI (1), EOI (2)/</w:t>
            </w:r>
            <w:proofErr w:type="spellStart"/>
            <w:r>
              <w:rPr>
                <w:sz w:val="20"/>
              </w:rPr>
              <w:t>CyO</w:t>
            </w:r>
            <w:proofErr w:type="spellEnd"/>
          </w:p>
        </w:tc>
        <w:tc>
          <w:tcPr>
            <w:tcW w:w="1710" w:type="dxa"/>
            <w:vAlign w:val="center"/>
          </w:tcPr>
          <w:p w:rsidR="0021211B" w:rsidRPr="00734E20" w:rsidRDefault="0021211B" w:rsidP="00734E20">
            <w:pPr>
              <w:jc w:val="center"/>
              <w:rPr>
                <w:sz w:val="20"/>
              </w:rPr>
            </w:pPr>
            <w:r w:rsidRPr="00FC48A0">
              <w:rPr>
                <w:sz w:val="20"/>
              </w:rPr>
              <w:sym w:font="Wingdings" w:char="F0E0"/>
            </w:r>
          </w:p>
        </w:tc>
        <w:tc>
          <w:tcPr>
            <w:tcW w:w="2178" w:type="dxa"/>
            <w:vAlign w:val="center"/>
          </w:tcPr>
          <w:p w:rsidR="0021211B" w:rsidRDefault="007569C0" w:rsidP="007569C0">
            <w:pPr>
              <w:rPr>
                <w:sz w:val="20"/>
              </w:rPr>
            </w:pPr>
            <w:r>
              <w:rPr>
                <w:sz w:val="20"/>
              </w:rPr>
              <w:t>S</w:t>
            </w:r>
            <w:r w:rsidR="0021211B">
              <w:rPr>
                <w:sz w:val="20"/>
              </w:rPr>
              <w:t>tock</w:t>
            </w:r>
            <w:r>
              <w:rPr>
                <w:sz w:val="20"/>
              </w:rPr>
              <w:t>; screen stock for lethality or</w:t>
            </w:r>
            <w:r w:rsidR="00546CD8">
              <w:rPr>
                <w:sz w:val="20"/>
              </w:rPr>
              <w:t xml:space="preserve"> infertility, if applicable</w:t>
            </w:r>
            <w:r>
              <w:rPr>
                <w:sz w:val="20"/>
                <w:vertAlign w:val="superscript"/>
              </w:rPr>
              <w:t>4</w:t>
            </w:r>
            <w:r w:rsidR="00194F13">
              <w:rPr>
                <w:sz w:val="20"/>
                <w:vertAlign w:val="superscript"/>
              </w:rPr>
              <w:t>, 5</w:t>
            </w:r>
          </w:p>
        </w:tc>
      </w:tr>
    </w:tbl>
    <w:p w:rsidR="00B266BD" w:rsidRPr="00FC48A0" w:rsidRDefault="00B266BD" w:rsidP="00FC48A0"/>
    <w:p w:rsidR="00DD0AFE" w:rsidRPr="007569C0" w:rsidRDefault="0021211B" w:rsidP="007569C0">
      <w:pPr>
        <w:pStyle w:val="ListParagraph"/>
        <w:numPr>
          <w:ilvl w:val="0"/>
          <w:numId w:val="7"/>
        </w:numPr>
        <w:spacing w:after="120"/>
        <w:contextualSpacing w:val="0"/>
        <w:rPr>
          <w:rFonts w:asciiTheme="majorHAnsi" w:hAnsiTheme="majorHAnsi"/>
        </w:rPr>
      </w:pPr>
      <w:r w:rsidRPr="007569C0">
        <w:rPr>
          <w:rFonts w:asciiTheme="majorHAnsi" w:hAnsiTheme="majorHAnsi"/>
        </w:rPr>
        <w:t>At the F</w:t>
      </w:r>
      <w:r w:rsidRPr="007569C0">
        <w:rPr>
          <w:rFonts w:asciiTheme="majorHAnsi" w:hAnsiTheme="majorHAnsi"/>
          <w:vertAlign w:val="subscript"/>
        </w:rPr>
        <w:t>2</w:t>
      </w:r>
      <w:r w:rsidRPr="007569C0">
        <w:rPr>
          <w:rFonts w:asciiTheme="majorHAnsi" w:hAnsiTheme="majorHAnsi"/>
        </w:rPr>
        <w:t xml:space="preserve"> cross, set up 5-20 individual crosses between a single male and 5-10 virgin females.  If the genetic elements to be recombined are 40 </w:t>
      </w:r>
      <w:r w:rsidR="004553A8" w:rsidRPr="007569C0">
        <w:rPr>
          <w:rFonts w:asciiTheme="majorHAnsi" w:hAnsiTheme="majorHAnsi"/>
        </w:rPr>
        <w:t xml:space="preserve">or more </w:t>
      </w:r>
      <w:r w:rsidRPr="007569C0">
        <w:rPr>
          <w:rFonts w:asciiTheme="majorHAnsi" w:hAnsiTheme="majorHAnsi"/>
        </w:rPr>
        <w:t>map units apart, 5 crosses should be sufficient; if they’re 20-40 map units apart or if the ma</w:t>
      </w:r>
      <w:r w:rsidR="004553A8" w:rsidRPr="007569C0">
        <w:rPr>
          <w:rFonts w:asciiTheme="majorHAnsi" w:hAnsiTheme="majorHAnsi"/>
        </w:rPr>
        <w:t xml:space="preserve">p distance is unknown, 10-15 crosses is better; if they’re less than 20 map units apart, 20 (or more) crosses may be necessary.  </w:t>
      </w:r>
    </w:p>
    <w:p w:rsidR="007569C0" w:rsidRDefault="00546CD8" w:rsidP="007569C0">
      <w:pPr>
        <w:pStyle w:val="ListParagraph"/>
        <w:numPr>
          <w:ilvl w:val="0"/>
          <w:numId w:val="7"/>
        </w:numPr>
        <w:spacing w:after="120"/>
        <w:contextualSpacing w:val="0"/>
        <w:rPr>
          <w:rFonts w:asciiTheme="majorHAnsi" w:hAnsiTheme="majorHAnsi"/>
        </w:rPr>
      </w:pPr>
      <w:r>
        <w:rPr>
          <w:rFonts w:asciiTheme="majorHAnsi" w:hAnsiTheme="majorHAnsi"/>
        </w:rPr>
        <w:t>If screening by PCR, o</w:t>
      </w:r>
      <w:r w:rsidR="00DD0AFE" w:rsidRPr="007569C0">
        <w:rPr>
          <w:rFonts w:asciiTheme="majorHAnsi" w:hAnsiTheme="majorHAnsi"/>
        </w:rPr>
        <w:t xml:space="preserve">nce </w:t>
      </w:r>
      <w:r w:rsidR="00194F13">
        <w:rPr>
          <w:rFonts w:asciiTheme="majorHAnsi" w:hAnsiTheme="majorHAnsi"/>
        </w:rPr>
        <w:t xml:space="preserve">the </w:t>
      </w:r>
      <w:r w:rsidR="00DD0AFE" w:rsidRPr="007569C0">
        <w:rPr>
          <w:rFonts w:asciiTheme="majorHAnsi" w:hAnsiTheme="majorHAnsi"/>
        </w:rPr>
        <w:t>cross has been established, remove the F</w:t>
      </w:r>
      <w:r w:rsidR="00DD0AFE" w:rsidRPr="007569C0">
        <w:rPr>
          <w:rFonts w:asciiTheme="majorHAnsi" w:hAnsiTheme="majorHAnsi"/>
          <w:vertAlign w:val="subscript"/>
        </w:rPr>
        <w:t>2</w:t>
      </w:r>
      <w:r w:rsidR="00DD0AFE" w:rsidRPr="007569C0">
        <w:rPr>
          <w:rFonts w:asciiTheme="majorHAnsi" w:hAnsiTheme="majorHAnsi"/>
        </w:rPr>
        <w:t xml:space="preserve"> male, extract DNA from the whole fly and perform PCR to scree</w:t>
      </w:r>
      <w:r w:rsidR="00175AD7" w:rsidRPr="007569C0">
        <w:rPr>
          <w:rFonts w:asciiTheme="majorHAnsi" w:hAnsiTheme="majorHAnsi"/>
        </w:rPr>
        <w:t xml:space="preserve">n for the presence of the element(s) of interest.  When planning the PCR reaction, be sure to include a positive and negative control.  The lab has standard primers for amplifying </w:t>
      </w:r>
      <w:proofErr w:type="spellStart"/>
      <w:r w:rsidR="00175AD7" w:rsidRPr="007569C0">
        <w:rPr>
          <w:rFonts w:asciiTheme="majorHAnsi" w:hAnsiTheme="majorHAnsi"/>
        </w:rPr>
        <w:t>rps</w:t>
      </w:r>
      <w:proofErr w:type="spellEnd"/>
      <w:r w:rsidR="00175AD7" w:rsidRPr="007569C0">
        <w:rPr>
          <w:rFonts w:asciiTheme="majorHAnsi" w:hAnsiTheme="majorHAnsi"/>
        </w:rPr>
        <w:t xml:space="preserve"> that work well as a positive control.  A good negative control is DNA harvested from the parent stock that should not have the element of interest.  </w:t>
      </w:r>
    </w:p>
    <w:p w:rsidR="00546CD8" w:rsidRDefault="00175AD7" w:rsidP="007569C0">
      <w:pPr>
        <w:pStyle w:val="ListParagraph"/>
        <w:numPr>
          <w:ilvl w:val="0"/>
          <w:numId w:val="7"/>
        </w:numPr>
        <w:spacing w:after="120"/>
        <w:contextualSpacing w:val="0"/>
        <w:rPr>
          <w:rFonts w:asciiTheme="majorHAnsi" w:hAnsiTheme="majorHAnsi"/>
        </w:rPr>
      </w:pPr>
      <w:r w:rsidRPr="007569C0">
        <w:rPr>
          <w:rFonts w:asciiTheme="majorHAnsi" w:hAnsiTheme="majorHAnsi"/>
        </w:rPr>
        <w:t>If the PCR screen is completed before the F</w:t>
      </w:r>
      <w:r w:rsidRPr="007569C0">
        <w:rPr>
          <w:rFonts w:asciiTheme="majorHAnsi" w:hAnsiTheme="majorHAnsi"/>
          <w:vertAlign w:val="subscript"/>
        </w:rPr>
        <w:t>3</w:t>
      </w:r>
      <w:r w:rsidRPr="007569C0">
        <w:rPr>
          <w:rFonts w:asciiTheme="majorHAnsi" w:hAnsiTheme="majorHAnsi"/>
        </w:rPr>
        <w:t xml:space="preserve"> flies eclose, only those crosses that were sired by recombinant males need be carried forward</w:t>
      </w:r>
      <w:r w:rsidR="00194F13">
        <w:rPr>
          <w:rFonts w:asciiTheme="majorHAnsi" w:hAnsiTheme="majorHAnsi"/>
        </w:rPr>
        <w:t xml:space="preserve"> to the F</w:t>
      </w:r>
      <w:r w:rsidR="00194F13">
        <w:rPr>
          <w:rFonts w:asciiTheme="majorHAnsi" w:hAnsiTheme="majorHAnsi"/>
          <w:vertAlign w:val="subscript"/>
        </w:rPr>
        <w:t>3</w:t>
      </w:r>
      <w:r w:rsidR="00194F13">
        <w:rPr>
          <w:rFonts w:asciiTheme="majorHAnsi" w:hAnsiTheme="majorHAnsi"/>
        </w:rPr>
        <w:t xml:space="preserve"> step</w:t>
      </w:r>
      <w:r w:rsidRPr="007569C0">
        <w:rPr>
          <w:rFonts w:asciiTheme="majorHAnsi" w:hAnsiTheme="majorHAnsi"/>
        </w:rPr>
        <w:t xml:space="preserve">; all others can be thrown away.  </w:t>
      </w:r>
    </w:p>
    <w:p w:rsidR="00546CD8" w:rsidRDefault="00546CD8" w:rsidP="007569C0">
      <w:pPr>
        <w:pStyle w:val="ListParagraph"/>
        <w:numPr>
          <w:ilvl w:val="0"/>
          <w:numId w:val="7"/>
        </w:numPr>
        <w:spacing w:after="120"/>
        <w:contextualSpacing w:val="0"/>
        <w:rPr>
          <w:rFonts w:asciiTheme="majorHAnsi" w:hAnsiTheme="majorHAnsi"/>
        </w:rPr>
      </w:pPr>
      <w:r>
        <w:rPr>
          <w:rFonts w:asciiTheme="majorHAnsi" w:hAnsiTheme="majorHAnsi"/>
        </w:rPr>
        <w:t>If screening by lethality, examine 30 or more flies in each stock.  If there are no flies that lack the balancer, it is very likely that the stock has the lethal mutation of interest.  If even one fly does not have the balancer, it should be assumed that the lethal mutation is not present and the stock should be discarded.</w:t>
      </w:r>
    </w:p>
    <w:p w:rsidR="00F1412F" w:rsidRPr="007569C0" w:rsidRDefault="00546CD8" w:rsidP="007569C0">
      <w:pPr>
        <w:pStyle w:val="ListParagraph"/>
        <w:numPr>
          <w:ilvl w:val="0"/>
          <w:numId w:val="7"/>
        </w:numPr>
        <w:spacing w:after="120"/>
        <w:contextualSpacing w:val="0"/>
        <w:rPr>
          <w:rFonts w:asciiTheme="majorHAnsi" w:hAnsiTheme="majorHAnsi"/>
        </w:rPr>
      </w:pPr>
      <w:r>
        <w:rPr>
          <w:rFonts w:asciiTheme="majorHAnsi" w:hAnsiTheme="majorHAnsi"/>
        </w:rPr>
        <w:t xml:space="preserve">If screening by infertility, put 5-10 females that lack the balancer together in a vial with wildtype males (they </w:t>
      </w:r>
      <w:r w:rsidR="003E7CDD">
        <w:rPr>
          <w:rFonts w:asciiTheme="majorHAnsi" w:hAnsiTheme="majorHAnsi"/>
        </w:rPr>
        <w:t xml:space="preserve">do not need to be </w:t>
      </w:r>
      <w:r>
        <w:rPr>
          <w:rFonts w:asciiTheme="majorHAnsi" w:hAnsiTheme="majorHAnsi"/>
        </w:rPr>
        <w:t>virgins).  If the</w:t>
      </w:r>
      <w:r w:rsidR="003E7CDD">
        <w:rPr>
          <w:rFonts w:asciiTheme="majorHAnsi" w:hAnsiTheme="majorHAnsi"/>
        </w:rPr>
        <w:t>y do not produce</w:t>
      </w:r>
      <w:r w:rsidR="000932D5">
        <w:rPr>
          <w:rFonts w:asciiTheme="majorHAnsi" w:hAnsiTheme="majorHAnsi"/>
        </w:rPr>
        <w:t xml:space="preserve"> viable progeny, it is very likely that the stock has the infertile mutation</w:t>
      </w:r>
      <w:r w:rsidR="00194F13">
        <w:rPr>
          <w:rFonts w:asciiTheme="majorHAnsi" w:hAnsiTheme="majorHAnsi"/>
        </w:rPr>
        <w:t xml:space="preserve"> of interest</w:t>
      </w:r>
      <w:r w:rsidR="000932D5">
        <w:rPr>
          <w:rFonts w:asciiTheme="majorHAnsi" w:hAnsiTheme="majorHAnsi"/>
        </w:rPr>
        <w:t>.</w:t>
      </w:r>
      <w:r w:rsidR="00194F13">
        <w:rPr>
          <w:rFonts w:asciiTheme="majorHAnsi" w:hAnsiTheme="majorHAnsi"/>
        </w:rPr>
        <w:t xml:space="preserve">  f even a few progeny are produced, it should be assumed that the infertile mutation is not present and the stock should be discarded.</w:t>
      </w:r>
    </w:p>
    <w:sectPr w:rsidR="00F1412F" w:rsidRPr="007569C0" w:rsidSect="00F141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960"/>
    <w:multiLevelType w:val="hybridMultilevel"/>
    <w:tmpl w:val="3F4A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650A9"/>
    <w:multiLevelType w:val="multilevel"/>
    <w:tmpl w:val="3F4A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3B400A"/>
    <w:multiLevelType w:val="hybridMultilevel"/>
    <w:tmpl w:val="0B28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24679"/>
    <w:multiLevelType w:val="hybridMultilevel"/>
    <w:tmpl w:val="8F28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5643A"/>
    <w:multiLevelType w:val="multilevel"/>
    <w:tmpl w:val="0B285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DB5D97"/>
    <w:multiLevelType w:val="hybridMultilevel"/>
    <w:tmpl w:val="7618E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C6669F"/>
    <w:multiLevelType w:val="hybridMultilevel"/>
    <w:tmpl w:val="72FA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412F"/>
    <w:rsid w:val="00025125"/>
    <w:rsid w:val="000932D5"/>
    <w:rsid w:val="00175AD7"/>
    <w:rsid w:val="00194F13"/>
    <w:rsid w:val="001F7358"/>
    <w:rsid w:val="0021211B"/>
    <w:rsid w:val="00245E06"/>
    <w:rsid w:val="00262320"/>
    <w:rsid w:val="002B5030"/>
    <w:rsid w:val="00334406"/>
    <w:rsid w:val="0037749B"/>
    <w:rsid w:val="003E7CDD"/>
    <w:rsid w:val="004553A8"/>
    <w:rsid w:val="00487032"/>
    <w:rsid w:val="00546CD8"/>
    <w:rsid w:val="00641903"/>
    <w:rsid w:val="00734E20"/>
    <w:rsid w:val="007569C0"/>
    <w:rsid w:val="008B0D44"/>
    <w:rsid w:val="00B266BD"/>
    <w:rsid w:val="00BD39DD"/>
    <w:rsid w:val="00C03508"/>
    <w:rsid w:val="00C65BB9"/>
    <w:rsid w:val="00D0731E"/>
    <w:rsid w:val="00DD0AFE"/>
    <w:rsid w:val="00E361DC"/>
    <w:rsid w:val="00E750A4"/>
    <w:rsid w:val="00F008C6"/>
    <w:rsid w:val="00F1412F"/>
    <w:rsid w:val="00FC48A0"/>
    <w:rsid w:val="00FF777C"/>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86"/>
  </w:style>
  <w:style w:type="paragraph" w:styleId="Heading1">
    <w:name w:val="heading 1"/>
    <w:basedOn w:val="Normal"/>
    <w:next w:val="Normal"/>
    <w:link w:val="Heading1Char"/>
    <w:uiPriority w:val="9"/>
    <w:qFormat/>
    <w:rsid w:val="00B266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141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6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141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266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B266B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266BD"/>
    <w:pPr>
      <w:ind w:left="720"/>
      <w:contextualSpacing/>
    </w:pPr>
  </w:style>
  <w:style w:type="table" w:styleId="TableGrid">
    <w:name w:val="Table Grid"/>
    <w:basedOn w:val="TableNormal"/>
    <w:uiPriority w:val="59"/>
    <w:rsid w:val="00734E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480</Words>
  <Characters>2736</Characters>
  <Application>Microsoft Macintosh Word</Application>
  <DocSecurity>0</DocSecurity>
  <Lines>22</Lines>
  <Paragraphs>5</Paragraphs>
  <ScaleCrop>false</ScaleCrop>
  <Company>UCSF</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Nystul</dc:creator>
  <cp:keywords/>
  <cp:lastModifiedBy>Todd Nystul</cp:lastModifiedBy>
  <cp:revision>7</cp:revision>
  <cp:lastPrinted>2010-08-02T22:54:00Z</cp:lastPrinted>
  <dcterms:created xsi:type="dcterms:W3CDTF">2010-08-02T21:32:00Z</dcterms:created>
  <dcterms:modified xsi:type="dcterms:W3CDTF">2010-08-04T00:32:00Z</dcterms:modified>
</cp:coreProperties>
</file>