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80" w:rsidRPr="00B266BD" w:rsidRDefault="007C7E80" w:rsidP="007C7E80">
      <w:pPr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2"/>
        </w:rPr>
        <w:t>Antibody Optimization</w:t>
      </w:r>
    </w:p>
    <w:p w:rsidR="007C7E80" w:rsidRDefault="007C7E80" w:rsidP="007C7E80">
      <w:pPr>
        <w:pStyle w:val="Heading3"/>
        <w:spacing w:after="120"/>
      </w:pPr>
      <w:r>
        <w:t>Introduction:</w:t>
      </w:r>
    </w:p>
    <w:p w:rsidR="007C7E80" w:rsidRDefault="007C7E80" w:rsidP="007C7E80">
      <w:pPr>
        <w:spacing w:after="120"/>
      </w:pPr>
      <w:r>
        <w:t>This protocol is used to determine the total optimal conditions under which to use an antibody.</w:t>
      </w:r>
    </w:p>
    <w:p w:rsidR="007C7E80" w:rsidRDefault="007C7E80" w:rsidP="007C7E80">
      <w:pPr>
        <w:pStyle w:val="Heading3"/>
        <w:spacing w:after="120"/>
      </w:pPr>
      <w:r>
        <w:t>Materials: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Antibodies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Organ R flies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BSA block PBS-</w:t>
      </w:r>
      <w:proofErr w:type="spellStart"/>
      <w:r>
        <w:t>tween</w:t>
      </w:r>
      <w:proofErr w:type="spellEnd"/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BSA block PBS-triton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Wet Yeast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Grace’s medium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 xml:space="preserve">Electron Microscopy Science 16% </w:t>
      </w:r>
      <w:r w:rsidR="00034B48">
        <w:t>formaldehyde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 xml:space="preserve">20% lab </w:t>
      </w:r>
      <w:r w:rsidR="00034B48">
        <w:t>formaldehyde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PBS</w:t>
      </w:r>
    </w:p>
    <w:p w:rsidR="007C7E80" w:rsidRDefault="007C7E80" w:rsidP="007C7E80">
      <w:pPr>
        <w:pStyle w:val="ListParagraph"/>
        <w:numPr>
          <w:ilvl w:val="0"/>
          <w:numId w:val="2"/>
        </w:numPr>
        <w:ind w:left="720"/>
      </w:pPr>
      <w:r>
        <w:t>PBS-</w:t>
      </w:r>
      <w:proofErr w:type="spellStart"/>
      <w:r>
        <w:t>tween</w:t>
      </w:r>
      <w:proofErr w:type="spellEnd"/>
      <w:r>
        <w:t xml:space="preserve"> (.5%)</w:t>
      </w:r>
    </w:p>
    <w:p w:rsidR="007C7E80" w:rsidRPr="00551904" w:rsidRDefault="007C7E80" w:rsidP="007C7E80">
      <w:pPr>
        <w:pStyle w:val="ListParagraph"/>
        <w:numPr>
          <w:ilvl w:val="0"/>
          <w:numId w:val="2"/>
        </w:numPr>
        <w:ind w:left="720"/>
      </w:pPr>
      <w:r>
        <w:t>PBS-triton (.2%)</w:t>
      </w:r>
    </w:p>
    <w:p w:rsidR="007C7E80" w:rsidRDefault="007C7E80" w:rsidP="007C7E80">
      <w:pPr>
        <w:pStyle w:val="Heading3"/>
        <w:spacing w:after="120"/>
      </w:pPr>
      <w:r>
        <w:t>Procedure:</w:t>
      </w:r>
    </w:p>
    <w:p w:rsidR="007C7E80" w:rsidRDefault="007C7E80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Place Oregon-R flies on wet yeast for 2 days</w:t>
      </w:r>
    </w:p>
    <w:p w:rsidR="007C7E80" w:rsidRDefault="007C7E80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Prepare optimization conditions with which you will test:</w:t>
      </w:r>
    </w:p>
    <w:p w:rsidR="007C7E80" w:rsidRDefault="007C7E80" w:rsidP="007C7E80">
      <w:pPr>
        <w:pStyle w:val="ListParagraph"/>
        <w:numPr>
          <w:ilvl w:val="0"/>
          <w:numId w:val="4"/>
        </w:numPr>
        <w:spacing w:after="120"/>
        <w:contextualSpacing w:val="0"/>
      </w:pPr>
      <w:r>
        <w:t>Formaldehyde (</w:t>
      </w:r>
      <w:r w:rsidR="00652CCB">
        <w:t>16% or 20%</w:t>
      </w:r>
      <w:r>
        <w:t>)</w:t>
      </w:r>
    </w:p>
    <w:p w:rsidR="007C7E80" w:rsidRDefault="007C7E80" w:rsidP="007C7E80">
      <w:pPr>
        <w:pStyle w:val="ListParagraph"/>
        <w:numPr>
          <w:ilvl w:val="0"/>
          <w:numId w:val="4"/>
        </w:numPr>
        <w:spacing w:after="120"/>
        <w:contextualSpacing w:val="0"/>
      </w:pPr>
      <w:r>
        <w:t>Time in formaldehyde</w:t>
      </w:r>
      <w:r w:rsidR="00652CCB">
        <w:t xml:space="preserve"> (15-20 minutes)</w:t>
      </w:r>
    </w:p>
    <w:p w:rsidR="007C7E80" w:rsidRDefault="007C7E80" w:rsidP="007C7E80">
      <w:pPr>
        <w:pStyle w:val="ListParagraph"/>
        <w:numPr>
          <w:ilvl w:val="0"/>
          <w:numId w:val="4"/>
        </w:numPr>
        <w:spacing w:after="120"/>
        <w:contextualSpacing w:val="0"/>
      </w:pPr>
      <w:r>
        <w:t>Detergent (</w:t>
      </w:r>
      <w:proofErr w:type="spellStart"/>
      <w:r w:rsidR="00652CCB">
        <w:t>tween</w:t>
      </w:r>
      <w:proofErr w:type="spellEnd"/>
      <w:r w:rsidR="00652CCB">
        <w:t xml:space="preserve"> or triton)</w:t>
      </w:r>
    </w:p>
    <w:p w:rsidR="007C7E80" w:rsidRDefault="007C7E80" w:rsidP="007C7E80">
      <w:pPr>
        <w:pStyle w:val="ListParagraph"/>
        <w:numPr>
          <w:ilvl w:val="0"/>
          <w:numId w:val="4"/>
        </w:numPr>
        <w:spacing w:after="120"/>
        <w:contextualSpacing w:val="0"/>
      </w:pPr>
      <w:r>
        <w:t>Antibody concentration</w:t>
      </w:r>
      <w:r w:rsidR="00652CCB">
        <w:t xml:space="preserve"> (start at 1:100 for all DSHB)</w:t>
      </w:r>
    </w:p>
    <w:p w:rsidR="004466EB" w:rsidRDefault="00652CCB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Make a table of all possible combinations of variables</w:t>
      </w:r>
      <w:r w:rsidR="0065745C">
        <w:t>. Example</w:t>
      </w:r>
      <w:r>
        <w:t>:</w:t>
      </w:r>
    </w:p>
    <w:p w:rsidR="00652CCB" w:rsidRDefault="00652CCB" w:rsidP="004466EB">
      <w:pPr>
        <w:pStyle w:val="ListParagraph"/>
        <w:spacing w:after="120"/>
        <w:contextualSpacing w:val="0"/>
      </w:pPr>
    </w:p>
    <w:tbl>
      <w:tblPr>
        <w:tblStyle w:val="TableGrid"/>
        <w:tblW w:w="0" w:type="auto"/>
        <w:tblLook w:val="00BF"/>
      </w:tblPr>
      <w:tblGrid>
        <w:gridCol w:w="1241"/>
        <w:gridCol w:w="959"/>
        <w:gridCol w:w="960"/>
        <w:gridCol w:w="960"/>
        <w:gridCol w:w="960"/>
        <w:gridCol w:w="944"/>
        <w:gridCol w:w="944"/>
        <w:gridCol w:w="944"/>
        <w:gridCol w:w="944"/>
      </w:tblGrid>
      <w:tr w:rsidR="0065745C"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1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2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3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4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5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6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7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Tube 8</w:t>
            </w:r>
          </w:p>
        </w:tc>
      </w:tr>
      <w:tr w:rsidR="0065745C"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Fix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16%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20%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16%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20%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16%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20%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16%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20%</w:t>
            </w:r>
          </w:p>
        </w:tc>
      </w:tr>
      <w:tr w:rsidR="0065745C"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Time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15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15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15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15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20</w:t>
            </w:r>
          </w:p>
        </w:tc>
      </w:tr>
      <w:tr w:rsidR="0065745C"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Detergent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proofErr w:type="spellStart"/>
            <w:r>
              <w:t>Tween</w:t>
            </w:r>
            <w:proofErr w:type="spellEnd"/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proofErr w:type="spellStart"/>
            <w:r>
              <w:t>Tween</w:t>
            </w:r>
            <w:proofErr w:type="spellEnd"/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proofErr w:type="spellStart"/>
            <w:r>
              <w:t>Tween</w:t>
            </w:r>
            <w:proofErr w:type="spellEnd"/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proofErr w:type="spellStart"/>
            <w:r>
              <w:t>Tween</w:t>
            </w:r>
            <w:proofErr w:type="spellEnd"/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Triton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Triton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Triton</w:t>
            </w:r>
          </w:p>
        </w:tc>
        <w:tc>
          <w:tcPr>
            <w:tcW w:w="984" w:type="dxa"/>
          </w:tcPr>
          <w:p w:rsidR="0065745C" w:rsidRDefault="0065745C" w:rsidP="00652CCB">
            <w:pPr>
              <w:pStyle w:val="ListParagraph"/>
              <w:spacing w:after="120"/>
              <w:ind w:left="0"/>
              <w:contextualSpacing w:val="0"/>
            </w:pPr>
            <w:r>
              <w:t>Triton</w:t>
            </w:r>
          </w:p>
        </w:tc>
      </w:tr>
    </w:tbl>
    <w:p w:rsidR="004466EB" w:rsidRDefault="004466EB" w:rsidP="00652CCB">
      <w:pPr>
        <w:pStyle w:val="ListParagraph"/>
        <w:spacing w:after="120"/>
        <w:contextualSpacing w:val="0"/>
        <w:rPr>
          <w:b/>
        </w:rPr>
      </w:pPr>
    </w:p>
    <w:p w:rsidR="00537000" w:rsidRDefault="0038217C" w:rsidP="00652CCB">
      <w:pPr>
        <w:pStyle w:val="ListParagraph"/>
        <w:spacing w:after="120"/>
        <w:contextualSpacing w:val="0"/>
      </w:pPr>
      <w:r w:rsidRPr="0038217C">
        <w:rPr>
          <w:b/>
        </w:rPr>
        <w:t>Note:</w:t>
      </w:r>
      <w:r>
        <w:t xml:space="preserve"> </w:t>
      </w:r>
      <w:r w:rsidR="00537000">
        <w:t xml:space="preserve">the number of tubes you will need is the number of variables from each group multiplied. Example: </w:t>
      </w:r>
    </w:p>
    <w:p w:rsidR="00537000" w:rsidRDefault="00537000" w:rsidP="00537000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Formaldehyde (2 </w:t>
      </w:r>
      <w:r w:rsidR="00034B48">
        <w:t>variables</w:t>
      </w:r>
      <w:r>
        <w:t>)</w:t>
      </w:r>
    </w:p>
    <w:p w:rsidR="00537000" w:rsidRDefault="00537000" w:rsidP="00537000">
      <w:pPr>
        <w:pStyle w:val="ListParagraph"/>
        <w:numPr>
          <w:ilvl w:val="0"/>
          <w:numId w:val="4"/>
        </w:numPr>
        <w:spacing w:after="120"/>
        <w:contextualSpacing w:val="0"/>
      </w:pPr>
      <w:r>
        <w:t>Time in formaldehyde (2 variables)</w:t>
      </w:r>
    </w:p>
    <w:p w:rsidR="00537000" w:rsidRDefault="00537000" w:rsidP="00537000">
      <w:pPr>
        <w:pStyle w:val="ListParagraph"/>
        <w:numPr>
          <w:ilvl w:val="0"/>
          <w:numId w:val="4"/>
        </w:numPr>
        <w:spacing w:after="120"/>
        <w:contextualSpacing w:val="0"/>
      </w:pPr>
      <w:r>
        <w:t>Detergent (2 variables)</w:t>
      </w:r>
    </w:p>
    <w:p w:rsidR="00537000" w:rsidRDefault="00537000" w:rsidP="00537000">
      <w:pPr>
        <w:pStyle w:val="ListParagraph"/>
        <w:numPr>
          <w:ilvl w:val="0"/>
          <w:numId w:val="4"/>
        </w:numPr>
        <w:spacing w:after="120"/>
        <w:contextualSpacing w:val="0"/>
      </w:pPr>
      <w:r>
        <w:t>Antibody concentration (1 variable)</w:t>
      </w:r>
    </w:p>
    <w:p w:rsidR="00537000" w:rsidRDefault="00537000" w:rsidP="00537000">
      <w:pPr>
        <w:pStyle w:val="ListParagraph"/>
        <w:spacing w:after="120"/>
        <w:ind w:left="1080"/>
        <w:contextualSpacing w:val="0"/>
      </w:pPr>
      <w:r>
        <w:t xml:space="preserve">2 X 2 X 2 X 1 = 8 </w:t>
      </w:r>
    </w:p>
    <w:p w:rsidR="00537000" w:rsidRDefault="00537000" w:rsidP="00537000">
      <w:pPr>
        <w:pStyle w:val="ListParagraph"/>
        <w:spacing w:after="120"/>
        <w:ind w:left="1080"/>
        <w:contextualSpacing w:val="0"/>
      </w:pPr>
      <w:r>
        <w:t>Therefore, you will have 8 tubes per antibody</w:t>
      </w:r>
      <w:r w:rsidR="004338E9">
        <w:t>.</w:t>
      </w:r>
    </w:p>
    <w:p w:rsidR="00652CCB" w:rsidRDefault="00652CCB" w:rsidP="00652CCB">
      <w:pPr>
        <w:pStyle w:val="ListParagraph"/>
        <w:spacing w:after="120"/>
        <w:contextualSpacing w:val="0"/>
      </w:pPr>
    </w:p>
    <w:p w:rsidR="00652CCB" w:rsidRDefault="00652CCB" w:rsidP="0065745C">
      <w:pPr>
        <w:pStyle w:val="ListParagraph"/>
        <w:numPr>
          <w:ilvl w:val="0"/>
          <w:numId w:val="1"/>
        </w:numPr>
        <w:spacing w:after="120"/>
        <w:contextualSpacing w:val="0"/>
      </w:pPr>
      <w:r>
        <w:t>Prepare optimization tubes with labels for each</w:t>
      </w:r>
      <w:r w:rsidR="0065745C">
        <w:t xml:space="preserve"> (be sure to place conditions on labels). Fill each with appropriate type of fix. </w:t>
      </w:r>
      <w:r w:rsidR="0065745C" w:rsidRPr="0065745C">
        <w:rPr>
          <w:b/>
        </w:rPr>
        <w:t>Note:</w:t>
      </w:r>
      <w:r w:rsidR="0065745C">
        <w:t xml:space="preserve"> 16% fix is mixed with Grace’s medium (200 ml fix, 400 ml Grace’s), 20% fix is mixed with PBS (100 ml fix, 400 ml PBS)</w:t>
      </w:r>
      <w:r>
        <w:t xml:space="preserve"> </w:t>
      </w:r>
    </w:p>
    <w:p w:rsidR="00652CCB" w:rsidRDefault="007C7E80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Dissect Organ-R female ovaries</w:t>
      </w:r>
      <w:r w:rsidR="0084479E">
        <w:t xml:space="preserve"> (2 pairs/experimental tube)</w:t>
      </w:r>
      <w:r w:rsidR="004466EB">
        <w:t>.</w:t>
      </w:r>
    </w:p>
    <w:p w:rsidR="0084479E" w:rsidRDefault="0065745C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Place in fix for designated time</w:t>
      </w:r>
      <w:r w:rsidR="004466EB">
        <w:t>.</w:t>
      </w:r>
    </w:p>
    <w:p w:rsidR="0084479E" w:rsidRDefault="0084479E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Rinse with designated detergent.</w:t>
      </w:r>
    </w:p>
    <w:p w:rsidR="0084479E" w:rsidRDefault="0084479E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Block with BSA in designated detergent for 20+ minutes.</w:t>
      </w:r>
    </w:p>
    <w:p w:rsidR="000D2FED" w:rsidRDefault="006D754D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Apply antibodies as normal, continuing with designated detergent throughout protocol. </w:t>
      </w:r>
      <w:r>
        <w:rPr>
          <w:b/>
        </w:rPr>
        <w:t xml:space="preserve">Note: </w:t>
      </w:r>
      <w:r>
        <w:t xml:space="preserve">Be sure to add a control antibody, such as </w:t>
      </w:r>
      <w:proofErr w:type="spellStart"/>
      <w:r>
        <w:t>Fasc</w:t>
      </w:r>
      <w:proofErr w:type="spellEnd"/>
      <w:r>
        <w:t xml:space="preserve"> III or TJ to samples.</w:t>
      </w:r>
    </w:p>
    <w:p w:rsidR="006D754D" w:rsidRDefault="000D2FED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Mount slides.</w:t>
      </w:r>
    </w:p>
    <w:p w:rsidR="00760D25" w:rsidRDefault="006D754D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Examine slides blindly</w:t>
      </w:r>
      <w:r w:rsidR="00454CBA">
        <w:t xml:space="preserve"> (as in, without reference to their conditions)</w:t>
      </w:r>
      <w:r>
        <w:t xml:space="preserve">. </w:t>
      </w:r>
      <w:r w:rsidR="00454CBA">
        <w:t xml:space="preserve">Take note of each slide and what you see. </w:t>
      </w:r>
      <w:r w:rsidR="005F0A53">
        <w:rPr>
          <w:b/>
        </w:rPr>
        <w:t xml:space="preserve">Note: </w:t>
      </w:r>
      <w:r w:rsidR="00454CBA">
        <w:t xml:space="preserve">Pay particular attention to what you see in the FSC area, since this is the cell </w:t>
      </w:r>
      <w:r w:rsidR="00454CBA" w:rsidRPr="005F0A53">
        <w:t>you</w:t>
      </w:r>
      <w:r w:rsidR="00454CBA">
        <w:t xml:space="preserve"> are optimizing for. </w:t>
      </w:r>
    </w:p>
    <w:p w:rsidR="00760D25" w:rsidRDefault="00760D25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Rank slides in categories by strength – great, medium, </w:t>
      </w:r>
      <w:proofErr w:type="spellStart"/>
      <w:r>
        <w:t>poor</w:t>
      </w:r>
      <w:proofErr w:type="spellEnd"/>
      <w:r>
        <w:t xml:space="preserve">. </w:t>
      </w:r>
    </w:p>
    <w:p w:rsidR="006D754D" w:rsidRDefault="00760D25" w:rsidP="007C7E80">
      <w:pPr>
        <w:pStyle w:val="ListParagraph"/>
        <w:numPr>
          <w:ilvl w:val="0"/>
          <w:numId w:val="1"/>
        </w:numPr>
        <w:spacing w:after="120"/>
        <w:contextualSpacing w:val="0"/>
      </w:pPr>
      <w:r>
        <w:t>Review which slides had which conditions</w:t>
      </w:r>
      <w:r w:rsidR="00C4657C">
        <w:t>.</w:t>
      </w:r>
      <w:r>
        <w:t xml:space="preserve"> </w:t>
      </w:r>
      <w:r w:rsidR="006D754D" w:rsidRPr="006D754D">
        <w:rPr>
          <w:b/>
        </w:rPr>
        <w:t>Note:</w:t>
      </w:r>
      <w:r w:rsidR="006D754D">
        <w:t xml:space="preserve"> </w:t>
      </w:r>
      <w:r w:rsidR="009F3DC7">
        <w:t xml:space="preserve">Variable performance may or may not be consistent </w:t>
      </w:r>
      <w:r w:rsidR="00454CBA">
        <w:t>from slide to slide.</w:t>
      </w:r>
      <w:r w:rsidR="006D754D">
        <w:t xml:space="preserve"> </w:t>
      </w:r>
      <w:r w:rsidR="00454CBA">
        <w:t>For e</w:t>
      </w:r>
      <w:r w:rsidR="00BE12DC">
        <w:t xml:space="preserve">xample, </w:t>
      </w:r>
      <w:r w:rsidR="00454CBA">
        <w:t>triton with longer fix time may work great, while triton with shorter fix time doesn’t show up at all. D</w:t>
      </w:r>
      <w:r w:rsidR="006D754D">
        <w:t xml:space="preserve">on’t be concerned if there is </w:t>
      </w:r>
      <w:r w:rsidR="00454CBA">
        <w:t>a lack of correlation.</w:t>
      </w:r>
    </w:p>
    <w:p w:rsidR="000D2FED" w:rsidRDefault="006D754D" w:rsidP="006D754D">
      <w:pPr>
        <w:pStyle w:val="ListParagraph"/>
        <w:numPr>
          <w:ilvl w:val="0"/>
          <w:numId w:val="1"/>
        </w:numPr>
        <w:spacing w:after="120"/>
        <w:contextualSpacing w:val="0"/>
      </w:pPr>
      <w:r>
        <w:t>Take top 1-3 conditions and retest them, changing antibody concentration as desired.</w:t>
      </w:r>
    </w:p>
    <w:p w:rsidR="007C7E80" w:rsidRDefault="00C4657C" w:rsidP="00C4657C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Repeat steps 3-12. </w:t>
      </w:r>
      <w:r w:rsidR="00F47BF2">
        <w:t xml:space="preserve">After two </w:t>
      </w:r>
      <w:r w:rsidR="00F1574E">
        <w:t>consecutively</w:t>
      </w:r>
      <w:r w:rsidR="00F47BF2">
        <w:t xml:space="preserve"> </w:t>
      </w:r>
      <w:r w:rsidR="0050091B">
        <w:t>strong</w:t>
      </w:r>
      <w:r w:rsidR="00F47BF2">
        <w:t xml:space="preserve"> stains, conditions can be assumed optimal.</w:t>
      </w:r>
    </w:p>
    <w:p w:rsidR="007C7E80" w:rsidRDefault="007C7E80" w:rsidP="007C7E80">
      <w:pPr>
        <w:pStyle w:val="Heading3"/>
      </w:pPr>
      <w:r>
        <w:t>Notes:</w:t>
      </w:r>
    </w:p>
    <w:p w:rsidR="004466EB" w:rsidRDefault="004466EB" w:rsidP="000D2FED">
      <w:pPr>
        <w:pStyle w:val="ListParagraph"/>
        <w:numPr>
          <w:ilvl w:val="0"/>
          <w:numId w:val="2"/>
        </w:numPr>
        <w:ind w:left="720"/>
      </w:pPr>
      <w:r>
        <w:t xml:space="preserve">If you are only dissecting 2 pairs/tube, ensure no ovaries are accidently lost in waste disposal </w:t>
      </w:r>
      <w:r w:rsidR="007B1A8C">
        <w:t>during</w:t>
      </w:r>
      <w:r>
        <w:t xml:space="preserve"> antibody probing.</w:t>
      </w:r>
    </w:p>
    <w:p w:rsidR="000D2FED" w:rsidRDefault="000D2FED" w:rsidP="000D2FED">
      <w:pPr>
        <w:pStyle w:val="ListParagraph"/>
        <w:numPr>
          <w:ilvl w:val="0"/>
          <w:numId w:val="2"/>
        </w:numPr>
        <w:ind w:left="720"/>
      </w:pPr>
      <w:r>
        <w:t>To avoid antibody waste, antibodies used at 1:4 can be mixed in as little as 200 ml PBST.</w:t>
      </w:r>
    </w:p>
    <w:p w:rsidR="009B1C66" w:rsidRDefault="009B1C66" w:rsidP="000D2FED">
      <w:pPr>
        <w:pStyle w:val="ListParagraph"/>
        <w:numPr>
          <w:ilvl w:val="0"/>
          <w:numId w:val="2"/>
        </w:numPr>
        <w:ind w:left="720"/>
      </w:pPr>
      <w:r>
        <w:t>If staining appears poor, ensure that control antibody staining is still visible.</w:t>
      </w:r>
    </w:p>
    <w:p w:rsidR="000D2FED" w:rsidRDefault="009B1C66" w:rsidP="000D2FED">
      <w:pPr>
        <w:pStyle w:val="ListParagraph"/>
        <w:numPr>
          <w:ilvl w:val="0"/>
          <w:numId w:val="2"/>
        </w:numPr>
        <w:ind w:left="720"/>
      </w:pPr>
      <w:r>
        <w:t xml:space="preserve">Remember, the point of optimizing is to find conditions that work, not to </w:t>
      </w:r>
      <w:r w:rsidR="000A219A">
        <w:t>comprehensively exclude every combination that does not work</w:t>
      </w:r>
      <w:r>
        <w:t>.</w:t>
      </w:r>
    </w:p>
    <w:p w:rsidR="0084479E" w:rsidRDefault="0084479E" w:rsidP="007C7E80"/>
    <w:sectPr w:rsidR="0084479E" w:rsidSect="0084479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1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71"/>
    <w:multiLevelType w:val="hybridMultilevel"/>
    <w:tmpl w:val="664619EC"/>
    <w:lvl w:ilvl="0" w:tplc="0C542FDC"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13511A"/>
    <w:multiLevelType w:val="hybridMultilevel"/>
    <w:tmpl w:val="78A007D0"/>
    <w:lvl w:ilvl="0" w:tplc="F392E73C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EE3F36"/>
    <w:multiLevelType w:val="hybridMultilevel"/>
    <w:tmpl w:val="6B203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D1D38"/>
    <w:multiLevelType w:val="hybridMultilevel"/>
    <w:tmpl w:val="45E8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C7E80"/>
    <w:rsid w:val="00034B48"/>
    <w:rsid w:val="000A219A"/>
    <w:rsid w:val="000D2FED"/>
    <w:rsid w:val="0038217C"/>
    <w:rsid w:val="004338E9"/>
    <w:rsid w:val="004466EB"/>
    <w:rsid w:val="00454CBA"/>
    <w:rsid w:val="0050091B"/>
    <w:rsid w:val="00537000"/>
    <w:rsid w:val="005F0A53"/>
    <w:rsid w:val="00652CCB"/>
    <w:rsid w:val="0065745C"/>
    <w:rsid w:val="006D754D"/>
    <w:rsid w:val="00760D25"/>
    <w:rsid w:val="007B1A8C"/>
    <w:rsid w:val="007C7E80"/>
    <w:rsid w:val="0084479E"/>
    <w:rsid w:val="008D70EA"/>
    <w:rsid w:val="009B1C66"/>
    <w:rsid w:val="009F3DC7"/>
    <w:rsid w:val="00AF392B"/>
    <w:rsid w:val="00BE12DC"/>
    <w:rsid w:val="00C4657C"/>
    <w:rsid w:val="00E10D3B"/>
    <w:rsid w:val="00F1574E"/>
    <w:rsid w:val="00F47BF2"/>
  </w:rsids>
  <m:mathPr>
    <m:mathFont m:val="PalatinoLTStd-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7E8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E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7E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C7E80"/>
    <w:pPr>
      <w:ind w:left="720"/>
      <w:contextualSpacing/>
    </w:pPr>
  </w:style>
  <w:style w:type="table" w:styleId="TableGrid">
    <w:name w:val="Table Grid"/>
    <w:basedOn w:val="TableNormal"/>
    <w:rsid w:val="00652C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1113</Characters>
  <Application>Microsoft Macintosh Word</Application>
  <DocSecurity>0</DocSecurity>
  <Lines>9</Lines>
  <Paragraphs>2</Paragraphs>
  <ScaleCrop>false</ScaleCrop>
  <Company>UCSF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Kronen</dc:creator>
  <cp:keywords/>
  <cp:lastModifiedBy>Raquel Kronen</cp:lastModifiedBy>
  <cp:revision>25</cp:revision>
  <dcterms:created xsi:type="dcterms:W3CDTF">2010-08-06T23:37:00Z</dcterms:created>
  <dcterms:modified xsi:type="dcterms:W3CDTF">2010-08-07T00:15:00Z</dcterms:modified>
</cp:coreProperties>
</file>