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2F" w:rsidRPr="00B266BD" w:rsidRDefault="00F1412F" w:rsidP="00B266BD">
      <w:pPr>
        <w:pStyle w:val="Heading1"/>
        <w:rPr>
          <w:sz w:val="36"/>
        </w:rPr>
      </w:pPr>
      <w:r w:rsidRPr="00B266BD">
        <w:rPr>
          <w:sz w:val="36"/>
        </w:rPr>
        <w:t>Neomycin</w:t>
      </w:r>
      <w:r w:rsidR="00334406">
        <w:rPr>
          <w:sz w:val="36"/>
        </w:rPr>
        <w:t>-based</w:t>
      </w:r>
      <w:r w:rsidRPr="00B266BD">
        <w:rPr>
          <w:sz w:val="36"/>
        </w:rPr>
        <w:t xml:space="preserve"> selection</w:t>
      </w:r>
      <w:r w:rsidR="00334406">
        <w:rPr>
          <w:sz w:val="36"/>
        </w:rPr>
        <w:t xml:space="preserve"> for FRT recombinants </w:t>
      </w:r>
    </w:p>
    <w:p w:rsidR="00F1412F" w:rsidRPr="00B266BD" w:rsidRDefault="00F1412F" w:rsidP="00F1412F">
      <w:pPr>
        <w:rPr>
          <w:rFonts w:asciiTheme="majorHAnsi" w:hAnsiTheme="majorHAnsi"/>
        </w:rPr>
      </w:pPr>
    </w:p>
    <w:p w:rsidR="00487032" w:rsidRDefault="00487032" w:rsidP="00B266BD">
      <w:pPr>
        <w:pStyle w:val="Heading3"/>
      </w:pPr>
      <w:r>
        <w:t>Introduction:</w:t>
      </w:r>
    </w:p>
    <w:p w:rsidR="0037749B" w:rsidRDefault="00487032" w:rsidP="001F7358">
      <w:r>
        <w:t xml:space="preserve">This procedure is usually performed to select for recombinant flies that have a mutation in a </w:t>
      </w:r>
      <w:r w:rsidR="00734E20">
        <w:t>G</w:t>
      </w:r>
      <w:r>
        <w:t xml:space="preserve">ene </w:t>
      </w:r>
      <w:r w:rsidR="00734E20">
        <w:t>O</w:t>
      </w:r>
      <w:r>
        <w:t xml:space="preserve">f </w:t>
      </w:r>
      <w:r w:rsidR="00734E20">
        <w:t>I</w:t>
      </w:r>
      <w:r>
        <w:t>nterest (GOI</w:t>
      </w:r>
      <w:r>
        <w:rPr>
          <w:vertAlign w:val="superscript"/>
        </w:rPr>
        <w:t>*</w:t>
      </w:r>
      <w:r>
        <w:t xml:space="preserve">) on the same arm as a commonly used FRT.  </w:t>
      </w:r>
      <w:r w:rsidR="001F7358">
        <w:t>Neomycin is normally toxic to larvae, but FRT</w:t>
      </w:r>
      <w:r w:rsidR="0037749B">
        <w:t>s</w:t>
      </w:r>
      <w:r w:rsidR="001F7358">
        <w:t xml:space="preserve"> 19A, 40A, 42D, 80B and 82B carry neomycin resistance genes </w:t>
      </w:r>
      <w:r w:rsidR="0037749B">
        <w:t>that</w:t>
      </w:r>
      <w:r w:rsidR="001F7358">
        <w:t xml:space="preserve"> confer survival.  The neomycin gene is under the control of a heat shock promoter, so heat shocking the larvae at regular intervals improves survival rates.  </w:t>
      </w:r>
      <w:r w:rsidR="0037749B">
        <w:t>A typical crossing scheme is as follows:</w:t>
      </w:r>
    </w:p>
    <w:p w:rsidR="0037749B" w:rsidRDefault="0037749B" w:rsidP="00734E20">
      <w:pPr>
        <w:spacing w:after="120"/>
      </w:pPr>
    </w:p>
    <w:tbl>
      <w:tblPr>
        <w:tblStyle w:val="TableGrid"/>
        <w:tblW w:w="9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BF"/>
      </w:tblPr>
      <w:tblGrid>
        <w:gridCol w:w="558"/>
        <w:gridCol w:w="2610"/>
        <w:gridCol w:w="270"/>
        <w:gridCol w:w="2610"/>
        <w:gridCol w:w="900"/>
        <w:gridCol w:w="2190"/>
      </w:tblGrid>
      <w:tr w:rsidR="00F838D1" w:rsidRPr="00734E20" w:rsidTr="00951827">
        <w:tc>
          <w:tcPr>
            <w:tcW w:w="558" w:type="dxa"/>
            <w:vAlign w:val="center"/>
          </w:tcPr>
          <w:p w:rsidR="00F838D1" w:rsidRPr="00F838D1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  <w:vertAlign w:val="subscript"/>
              </w:rPr>
              <w:t>o</w:t>
            </w:r>
          </w:p>
        </w:tc>
        <w:tc>
          <w:tcPr>
            <w:tcW w:w="261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  <w:r w:rsidRPr="00734E20">
              <w:rPr>
                <w:sz w:val="20"/>
              </w:rPr>
              <w:t>w</w:t>
            </w:r>
            <w:r w:rsidRPr="00734E20">
              <w:rPr>
                <w:sz w:val="20"/>
                <w:vertAlign w:val="superscript"/>
              </w:rPr>
              <w:t>-</w:t>
            </w:r>
            <w:r w:rsidRPr="00734E20">
              <w:rPr>
                <w:sz w:val="20"/>
              </w:rPr>
              <w:t>; GOI</w:t>
            </w:r>
            <w:r w:rsidRPr="00734E20">
              <w:rPr>
                <w:sz w:val="20"/>
                <w:vertAlign w:val="superscript"/>
              </w:rPr>
              <w:t xml:space="preserve">(*, </w:t>
            </w:r>
            <w:proofErr w:type="spellStart"/>
            <w:r w:rsidRPr="00734E20">
              <w:rPr>
                <w:sz w:val="20"/>
                <w:vertAlign w:val="superscript"/>
              </w:rPr>
              <w:t>mW</w:t>
            </w:r>
            <w:proofErr w:type="spellEnd"/>
            <w:r w:rsidRPr="00734E20">
              <w:rPr>
                <w:sz w:val="20"/>
                <w:vertAlign w:val="superscript"/>
              </w:rPr>
              <w:t>+)</w:t>
            </w:r>
            <w:r w:rsidRPr="00734E20">
              <w:rPr>
                <w:sz w:val="20"/>
              </w:rPr>
              <w:t>/</w:t>
            </w:r>
            <w:proofErr w:type="spellStart"/>
            <w:r w:rsidRPr="00734E20">
              <w:rPr>
                <w:sz w:val="20"/>
              </w:rPr>
              <w:t>CyO</w:t>
            </w:r>
            <w:proofErr w:type="spellEnd"/>
          </w:p>
        </w:tc>
        <w:tc>
          <w:tcPr>
            <w:tcW w:w="27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  <w:r w:rsidRPr="00734E20">
              <w:rPr>
                <w:sz w:val="20"/>
              </w:rPr>
              <w:t>x</w:t>
            </w:r>
          </w:p>
        </w:tc>
        <w:tc>
          <w:tcPr>
            <w:tcW w:w="261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  <w:r w:rsidRPr="00734E20">
              <w:rPr>
                <w:sz w:val="20"/>
              </w:rPr>
              <w:t>w</w:t>
            </w:r>
            <w:r w:rsidRPr="00734E20">
              <w:rPr>
                <w:sz w:val="20"/>
                <w:vertAlign w:val="superscript"/>
              </w:rPr>
              <w:t>-</w:t>
            </w:r>
            <w:r w:rsidRPr="00734E20">
              <w:rPr>
                <w:sz w:val="20"/>
              </w:rPr>
              <w:t>; FRT 40a/CyO</w:t>
            </w:r>
          </w:p>
        </w:tc>
        <w:tc>
          <w:tcPr>
            <w:tcW w:w="90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  <w:r w:rsidRPr="00734E20">
              <w:rPr>
                <w:sz w:val="20"/>
              </w:rPr>
              <w:sym w:font="Wingdings" w:char="F0E0"/>
            </w:r>
          </w:p>
        </w:tc>
        <w:tc>
          <w:tcPr>
            <w:tcW w:w="219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  <w:r w:rsidRPr="00734E20">
              <w:rPr>
                <w:sz w:val="20"/>
              </w:rPr>
              <w:t>select for straight-winged virgin females</w:t>
            </w:r>
          </w:p>
        </w:tc>
      </w:tr>
      <w:tr w:rsidR="00F838D1" w:rsidRPr="00734E20" w:rsidTr="00951827">
        <w:tc>
          <w:tcPr>
            <w:tcW w:w="558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  <w:tc>
          <w:tcPr>
            <w:tcW w:w="2610" w:type="dxa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</w:tr>
      <w:tr w:rsidR="00F838D1" w:rsidRPr="00734E20" w:rsidTr="00951827">
        <w:tc>
          <w:tcPr>
            <w:tcW w:w="558" w:type="dxa"/>
            <w:vAlign w:val="center"/>
          </w:tcPr>
          <w:p w:rsidR="00F838D1" w:rsidRPr="00F838D1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1</w:t>
            </w:r>
          </w:p>
        </w:tc>
        <w:tc>
          <w:tcPr>
            <w:tcW w:w="2610" w:type="dxa"/>
            <w:vAlign w:val="center"/>
          </w:tcPr>
          <w:p w:rsidR="00F838D1" w:rsidRDefault="00F838D1" w:rsidP="001F7358">
            <w:pPr>
              <w:rPr>
                <w:sz w:val="20"/>
              </w:rPr>
            </w:pPr>
            <w:r w:rsidRPr="00734E20">
              <w:rPr>
                <w:sz w:val="20"/>
              </w:rPr>
              <w:t>w</w:t>
            </w:r>
            <w:r w:rsidRPr="00734E20">
              <w:rPr>
                <w:sz w:val="20"/>
                <w:vertAlign w:val="superscript"/>
              </w:rPr>
              <w:t>-</w:t>
            </w:r>
            <w:r w:rsidRPr="00734E20">
              <w:rPr>
                <w:sz w:val="20"/>
              </w:rPr>
              <w:t>; GOI</w:t>
            </w:r>
            <w:r w:rsidRPr="00734E20">
              <w:rPr>
                <w:sz w:val="20"/>
                <w:vertAlign w:val="superscript"/>
              </w:rPr>
              <w:t xml:space="preserve">(*, </w:t>
            </w:r>
            <w:proofErr w:type="spellStart"/>
            <w:r w:rsidRPr="00734E20">
              <w:rPr>
                <w:sz w:val="20"/>
                <w:vertAlign w:val="superscript"/>
              </w:rPr>
              <w:t>mW</w:t>
            </w:r>
            <w:proofErr w:type="spellEnd"/>
            <w:r w:rsidRPr="00734E20">
              <w:rPr>
                <w:sz w:val="20"/>
                <w:vertAlign w:val="superscript"/>
              </w:rPr>
              <w:t>+)</w:t>
            </w:r>
            <w:r w:rsidRPr="00734E20">
              <w:rPr>
                <w:sz w:val="20"/>
              </w:rPr>
              <w:t>/FRT 40a</w:t>
            </w:r>
          </w:p>
          <w:p w:rsidR="00F838D1" w:rsidRPr="00734E20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(females)</w:t>
            </w:r>
          </w:p>
        </w:tc>
        <w:tc>
          <w:tcPr>
            <w:tcW w:w="27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  <w:r w:rsidRPr="00734E20">
              <w:rPr>
                <w:sz w:val="20"/>
              </w:rPr>
              <w:t>x</w:t>
            </w:r>
          </w:p>
        </w:tc>
        <w:tc>
          <w:tcPr>
            <w:tcW w:w="2610" w:type="dxa"/>
            <w:vAlign w:val="center"/>
          </w:tcPr>
          <w:p w:rsidR="00F838D1" w:rsidRDefault="00F838D1" w:rsidP="001F7358">
            <w:pPr>
              <w:rPr>
                <w:sz w:val="20"/>
              </w:rPr>
            </w:pPr>
            <w:r w:rsidRPr="00734E20">
              <w:rPr>
                <w:sz w:val="20"/>
              </w:rPr>
              <w:t>w</w:t>
            </w:r>
            <w:r w:rsidRPr="00734E20">
              <w:rPr>
                <w:sz w:val="20"/>
                <w:vertAlign w:val="superscript"/>
              </w:rPr>
              <w:t>-</w:t>
            </w:r>
            <w:r w:rsidRPr="00734E20">
              <w:rPr>
                <w:sz w:val="20"/>
              </w:rPr>
              <w:t xml:space="preserve">;  </w:t>
            </w:r>
            <w:proofErr w:type="spellStart"/>
            <w:r w:rsidRPr="00734E20">
              <w:rPr>
                <w:sz w:val="20"/>
              </w:rPr>
              <w:t>sco/CyO</w:t>
            </w:r>
            <w:proofErr w:type="spellEnd"/>
          </w:p>
          <w:p w:rsidR="00F838D1" w:rsidRPr="00734E20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(males)</w:t>
            </w:r>
          </w:p>
        </w:tc>
        <w:tc>
          <w:tcPr>
            <w:tcW w:w="90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  <w:r w:rsidRPr="00734E20">
              <w:rPr>
                <w:sz w:val="20"/>
              </w:rPr>
              <w:sym w:font="Wingdings" w:char="F0E0"/>
            </w:r>
          </w:p>
          <w:p w:rsidR="00F838D1" w:rsidRPr="00734E20" w:rsidRDefault="00F838D1" w:rsidP="00734E20">
            <w:pPr>
              <w:jc w:val="center"/>
              <w:rPr>
                <w:sz w:val="20"/>
              </w:rPr>
            </w:pPr>
            <w:r w:rsidRPr="00734E20">
              <w:rPr>
                <w:sz w:val="20"/>
              </w:rPr>
              <w:t>on neo</w:t>
            </w:r>
            <w:r w:rsidRPr="00734E20">
              <w:rPr>
                <w:sz w:val="20"/>
                <w:vertAlign w:val="superscript"/>
              </w:rPr>
              <w:t>+</w:t>
            </w:r>
            <w:r w:rsidRPr="00734E20">
              <w:rPr>
                <w:sz w:val="20"/>
              </w:rPr>
              <w:t xml:space="preserve"> media</w:t>
            </w:r>
          </w:p>
        </w:tc>
        <w:tc>
          <w:tcPr>
            <w:tcW w:w="219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  <w:r w:rsidRPr="00734E20">
              <w:rPr>
                <w:sz w:val="20"/>
              </w:rPr>
              <w:t>select for survivors with curly wings and pink or red eyes</w:t>
            </w:r>
          </w:p>
        </w:tc>
      </w:tr>
      <w:tr w:rsidR="00F838D1" w:rsidRPr="00734E20" w:rsidTr="00951827">
        <w:tc>
          <w:tcPr>
            <w:tcW w:w="558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  <w:tc>
          <w:tcPr>
            <w:tcW w:w="2610" w:type="dxa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</w:tr>
      <w:tr w:rsidR="00F838D1" w:rsidRPr="00734E20" w:rsidTr="00951827">
        <w:tc>
          <w:tcPr>
            <w:tcW w:w="558" w:type="dxa"/>
            <w:vAlign w:val="center"/>
          </w:tcPr>
          <w:p w:rsidR="00F838D1" w:rsidRPr="00951827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2</w:t>
            </w:r>
            <w:r w:rsidR="00951827">
              <w:rPr>
                <w:sz w:val="20"/>
              </w:rPr>
              <w:t>*</w:t>
            </w:r>
          </w:p>
        </w:tc>
        <w:tc>
          <w:tcPr>
            <w:tcW w:w="2610" w:type="dxa"/>
            <w:vAlign w:val="center"/>
          </w:tcPr>
          <w:p w:rsidR="00F838D1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w; GO</w:t>
            </w:r>
            <w:r w:rsidRPr="00734E20">
              <w:rPr>
                <w:sz w:val="20"/>
              </w:rPr>
              <w:t>I</w:t>
            </w:r>
            <w:r w:rsidRPr="00734E20">
              <w:rPr>
                <w:sz w:val="20"/>
                <w:vertAlign w:val="superscript"/>
              </w:rPr>
              <w:t xml:space="preserve">(*, </w:t>
            </w:r>
            <w:proofErr w:type="spellStart"/>
            <w:r w:rsidRPr="00734E20">
              <w:rPr>
                <w:sz w:val="20"/>
                <w:vertAlign w:val="superscript"/>
              </w:rPr>
              <w:t>mW</w:t>
            </w:r>
            <w:proofErr w:type="spellEnd"/>
            <w:r w:rsidRPr="00734E20">
              <w:rPr>
                <w:sz w:val="20"/>
                <w:vertAlign w:val="superscript"/>
              </w:rPr>
              <w:t>+)</w:t>
            </w:r>
            <w:r>
              <w:rPr>
                <w:sz w:val="20"/>
              </w:rPr>
              <w:t>, FRT 40a/CyO</w:t>
            </w:r>
          </w:p>
          <w:p w:rsidR="00F838D1" w:rsidRPr="00734E20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B3608E">
              <w:rPr>
                <w:sz w:val="20"/>
              </w:rPr>
              <w:t>single male</w:t>
            </w:r>
            <w:r>
              <w:rPr>
                <w:sz w:val="20"/>
              </w:rPr>
              <w:t>)</w:t>
            </w:r>
          </w:p>
        </w:tc>
        <w:tc>
          <w:tcPr>
            <w:tcW w:w="27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10" w:type="dxa"/>
            <w:vAlign w:val="center"/>
          </w:tcPr>
          <w:p w:rsidR="00B3608E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 xml:space="preserve">w; </w:t>
            </w:r>
            <w:proofErr w:type="spellStart"/>
            <w:r>
              <w:rPr>
                <w:sz w:val="20"/>
              </w:rPr>
              <w:t>sco/CyO</w:t>
            </w:r>
            <w:proofErr w:type="spellEnd"/>
          </w:p>
          <w:p w:rsidR="00F838D1" w:rsidRPr="00734E20" w:rsidRDefault="00B3608E" w:rsidP="001F7358">
            <w:pPr>
              <w:rPr>
                <w:sz w:val="20"/>
              </w:rPr>
            </w:pPr>
            <w:r>
              <w:rPr>
                <w:sz w:val="20"/>
              </w:rPr>
              <w:t>(5-10 females)</w:t>
            </w:r>
          </w:p>
        </w:tc>
        <w:tc>
          <w:tcPr>
            <w:tcW w:w="900" w:type="dxa"/>
            <w:vAlign w:val="center"/>
          </w:tcPr>
          <w:p w:rsidR="00F838D1" w:rsidRPr="00734E20" w:rsidRDefault="00B3608E" w:rsidP="00734E20">
            <w:pPr>
              <w:jc w:val="center"/>
              <w:rPr>
                <w:sz w:val="20"/>
              </w:rPr>
            </w:pPr>
            <w:r w:rsidRPr="00B3608E">
              <w:rPr>
                <w:sz w:val="20"/>
              </w:rPr>
              <w:sym w:font="Wingdings" w:char="F0E0"/>
            </w:r>
          </w:p>
        </w:tc>
        <w:tc>
          <w:tcPr>
            <w:tcW w:w="2190" w:type="dxa"/>
            <w:vAlign w:val="center"/>
          </w:tcPr>
          <w:p w:rsidR="00F838D1" w:rsidRPr="00734E20" w:rsidRDefault="00B3608E" w:rsidP="00951827">
            <w:pPr>
              <w:rPr>
                <w:sz w:val="20"/>
              </w:rPr>
            </w:pPr>
            <w:r>
              <w:rPr>
                <w:sz w:val="20"/>
              </w:rPr>
              <w:t>Select for curly wings and normal bristles</w:t>
            </w:r>
          </w:p>
        </w:tc>
      </w:tr>
      <w:tr w:rsidR="00F838D1" w:rsidRPr="00734E20" w:rsidTr="00951827">
        <w:tc>
          <w:tcPr>
            <w:tcW w:w="558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  <w:tc>
          <w:tcPr>
            <w:tcW w:w="2610" w:type="dxa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</w:p>
        </w:tc>
        <w:tc>
          <w:tcPr>
            <w:tcW w:w="219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</w:p>
        </w:tc>
      </w:tr>
      <w:tr w:rsidR="00F838D1" w:rsidRPr="00734E20" w:rsidTr="00951827">
        <w:tc>
          <w:tcPr>
            <w:tcW w:w="558" w:type="dxa"/>
            <w:vAlign w:val="center"/>
          </w:tcPr>
          <w:p w:rsidR="00F838D1" w:rsidRPr="00F838D1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3</w:t>
            </w:r>
          </w:p>
        </w:tc>
        <w:tc>
          <w:tcPr>
            <w:tcW w:w="261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w; GO</w:t>
            </w:r>
            <w:r w:rsidRPr="00734E20">
              <w:rPr>
                <w:sz w:val="20"/>
              </w:rPr>
              <w:t>I</w:t>
            </w:r>
            <w:r w:rsidRPr="00734E20">
              <w:rPr>
                <w:sz w:val="20"/>
                <w:vertAlign w:val="superscript"/>
              </w:rPr>
              <w:t xml:space="preserve">(*, </w:t>
            </w:r>
            <w:proofErr w:type="spellStart"/>
            <w:r w:rsidRPr="00734E20">
              <w:rPr>
                <w:sz w:val="20"/>
                <w:vertAlign w:val="superscript"/>
              </w:rPr>
              <w:t>mW</w:t>
            </w:r>
            <w:proofErr w:type="spellEnd"/>
            <w:r w:rsidRPr="00734E20">
              <w:rPr>
                <w:sz w:val="20"/>
                <w:vertAlign w:val="superscript"/>
              </w:rPr>
              <w:t>+)</w:t>
            </w:r>
            <w:r>
              <w:rPr>
                <w:sz w:val="20"/>
              </w:rPr>
              <w:t>, FRT 40a/CyO</w:t>
            </w:r>
          </w:p>
        </w:tc>
        <w:tc>
          <w:tcPr>
            <w:tcW w:w="27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1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w; GO</w:t>
            </w:r>
            <w:r w:rsidRPr="00734E20">
              <w:rPr>
                <w:sz w:val="20"/>
              </w:rPr>
              <w:t>I</w:t>
            </w:r>
            <w:r w:rsidRPr="00734E20">
              <w:rPr>
                <w:sz w:val="20"/>
                <w:vertAlign w:val="superscript"/>
              </w:rPr>
              <w:t xml:space="preserve">(*, </w:t>
            </w:r>
            <w:proofErr w:type="spellStart"/>
            <w:r w:rsidRPr="00734E20">
              <w:rPr>
                <w:sz w:val="20"/>
                <w:vertAlign w:val="superscript"/>
              </w:rPr>
              <w:t>mW</w:t>
            </w:r>
            <w:proofErr w:type="spellEnd"/>
            <w:r w:rsidRPr="00734E20">
              <w:rPr>
                <w:sz w:val="20"/>
                <w:vertAlign w:val="superscript"/>
              </w:rPr>
              <w:t>+)</w:t>
            </w:r>
            <w:r>
              <w:rPr>
                <w:sz w:val="20"/>
              </w:rPr>
              <w:t>, FRT 40a/CyO</w:t>
            </w:r>
          </w:p>
        </w:tc>
        <w:tc>
          <w:tcPr>
            <w:tcW w:w="900" w:type="dxa"/>
            <w:vAlign w:val="center"/>
          </w:tcPr>
          <w:p w:rsidR="00F838D1" w:rsidRPr="00734E20" w:rsidRDefault="00F838D1" w:rsidP="00734E20">
            <w:pPr>
              <w:jc w:val="center"/>
              <w:rPr>
                <w:sz w:val="20"/>
              </w:rPr>
            </w:pPr>
            <w:r w:rsidRPr="00734E20">
              <w:rPr>
                <w:sz w:val="20"/>
              </w:rPr>
              <w:sym w:font="Wingdings" w:char="F0E0"/>
            </w:r>
            <w:r>
              <w:rPr>
                <w:sz w:val="20"/>
              </w:rPr>
              <w:t xml:space="preserve"> </w:t>
            </w:r>
          </w:p>
        </w:tc>
        <w:tc>
          <w:tcPr>
            <w:tcW w:w="2190" w:type="dxa"/>
            <w:vAlign w:val="center"/>
          </w:tcPr>
          <w:p w:rsidR="00F838D1" w:rsidRPr="00734E20" w:rsidRDefault="00F838D1" w:rsidP="001F7358">
            <w:pPr>
              <w:rPr>
                <w:sz w:val="20"/>
              </w:rPr>
            </w:pPr>
            <w:r>
              <w:rPr>
                <w:sz w:val="20"/>
              </w:rPr>
              <w:t>Stock</w:t>
            </w:r>
          </w:p>
        </w:tc>
      </w:tr>
    </w:tbl>
    <w:p w:rsidR="001F7358" w:rsidRPr="00951827" w:rsidRDefault="00951827" w:rsidP="001F7358">
      <w:pPr>
        <w:rPr>
          <w:sz w:val="20"/>
        </w:rPr>
      </w:pPr>
      <w:r w:rsidRPr="00951827">
        <w:rPr>
          <w:sz w:val="20"/>
        </w:rPr>
        <w:t xml:space="preserve">*This cross is </w:t>
      </w:r>
      <w:r>
        <w:rPr>
          <w:sz w:val="20"/>
        </w:rPr>
        <w:t>recommended to homogenize the recombinant chromosome, but not strictly necessary.</w:t>
      </w:r>
    </w:p>
    <w:p w:rsidR="00B266BD" w:rsidRPr="00B266BD" w:rsidRDefault="00B266BD" w:rsidP="00B266BD">
      <w:pPr>
        <w:pStyle w:val="Heading3"/>
      </w:pPr>
      <w:r w:rsidRPr="00B266BD">
        <w:t>Materials:</w:t>
      </w:r>
    </w:p>
    <w:p w:rsidR="00B266BD" w:rsidRDefault="00B266BD" w:rsidP="00F1412F">
      <w:pPr>
        <w:rPr>
          <w:rFonts w:asciiTheme="majorHAnsi" w:hAnsiTheme="majorHAnsi"/>
        </w:rPr>
      </w:pPr>
      <w:r>
        <w:rPr>
          <w:rFonts w:asciiTheme="majorHAnsi" w:hAnsiTheme="majorHAnsi"/>
        </w:rPr>
        <w:t>Vials with regular food</w:t>
      </w:r>
    </w:p>
    <w:p w:rsidR="00B266BD" w:rsidRDefault="00B266BD" w:rsidP="00F1412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Neomycin (also called </w:t>
      </w:r>
      <w:proofErr w:type="spellStart"/>
      <w:r w:rsidR="00E750A4">
        <w:rPr>
          <w:rFonts w:asciiTheme="majorHAnsi" w:hAnsiTheme="majorHAnsi"/>
        </w:rPr>
        <w:t>Geneticin</w:t>
      </w:r>
      <w:proofErr w:type="spellEnd"/>
      <w:r w:rsidR="00E750A4">
        <w:rPr>
          <w:rFonts w:asciiTheme="majorHAnsi" w:hAnsiTheme="majorHAnsi"/>
        </w:rPr>
        <w:t xml:space="preserve"> or </w:t>
      </w:r>
      <w:r>
        <w:rPr>
          <w:rFonts w:asciiTheme="majorHAnsi" w:hAnsiTheme="majorHAnsi"/>
        </w:rPr>
        <w:t>G418), liquid stock</w:t>
      </w:r>
      <w:r w:rsidR="00E750A4">
        <w:rPr>
          <w:rFonts w:asciiTheme="majorHAnsi" w:hAnsiTheme="majorHAnsi"/>
        </w:rPr>
        <w:t xml:space="preserve"> 25 mg/ml</w:t>
      </w:r>
    </w:p>
    <w:p w:rsidR="00B266BD" w:rsidRDefault="00B266BD" w:rsidP="00F1412F">
      <w:pPr>
        <w:rPr>
          <w:rFonts w:asciiTheme="majorHAnsi" w:hAnsiTheme="majorHAnsi"/>
        </w:rPr>
      </w:pPr>
      <w:r>
        <w:rPr>
          <w:rFonts w:asciiTheme="majorHAnsi" w:hAnsiTheme="majorHAnsi"/>
        </w:rPr>
        <w:t>Wooden applicator stick</w:t>
      </w:r>
    </w:p>
    <w:p w:rsidR="00B266BD" w:rsidRDefault="00B266BD" w:rsidP="00F1412F">
      <w:pPr>
        <w:rPr>
          <w:rFonts w:asciiTheme="majorHAnsi" w:hAnsiTheme="majorHAnsi"/>
        </w:rPr>
      </w:pPr>
    </w:p>
    <w:p w:rsidR="00B266BD" w:rsidRDefault="00E750A4" w:rsidP="00B266BD">
      <w:pPr>
        <w:pStyle w:val="Heading3"/>
      </w:pPr>
      <w:r>
        <w:t>Preparation</w:t>
      </w:r>
      <w:r w:rsidR="00B266BD">
        <w:t>:</w:t>
      </w:r>
    </w:p>
    <w:p w:rsidR="00245E06" w:rsidRDefault="00245E06" w:rsidP="0035082B">
      <w:pPr>
        <w:pStyle w:val="ListParagraph"/>
        <w:numPr>
          <w:ilvl w:val="0"/>
          <w:numId w:val="3"/>
        </w:numPr>
        <w:spacing w:after="120"/>
        <w:contextualSpacing w:val="0"/>
      </w:pPr>
      <w:r>
        <w:t>Get one vial with food for each cross plus two more, one for a positive control and one for a negative control.</w:t>
      </w:r>
    </w:p>
    <w:p w:rsidR="00245E06" w:rsidRDefault="00245E06" w:rsidP="0035082B">
      <w:pPr>
        <w:pStyle w:val="ListParagraph"/>
        <w:numPr>
          <w:ilvl w:val="0"/>
          <w:numId w:val="3"/>
        </w:numPr>
        <w:spacing w:after="120"/>
        <w:contextualSpacing w:val="0"/>
      </w:pPr>
      <w:r>
        <w:t>Thaw one or more aliquots of G418, as needed.  You will need 100 µl of stock solution per 10 ml of food.</w:t>
      </w:r>
    </w:p>
    <w:p w:rsidR="00245E06" w:rsidRDefault="00245E06" w:rsidP="0035082B">
      <w:pPr>
        <w:pStyle w:val="ListParagraph"/>
        <w:numPr>
          <w:ilvl w:val="1"/>
          <w:numId w:val="3"/>
        </w:numPr>
        <w:spacing w:after="120"/>
        <w:contextualSpacing w:val="0"/>
      </w:pPr>
      <w:r>
        <w:t>To determine food volume, measure the height of the food in the vial and use the following conversion:  17 mm = 10 ml)</w:t>
      </w:r>
    </w:p>
    <w:p w:rsidR="00245E06" w:rsidRDefault="00245E06" w:rsidP="0035082B">
      <w:pPr>
        <w:pStyle w:val="ListParagraph"/>
        <w:numPr>
          <w:ilvl w:val="1"/>
          <w:numId w:val="3"/>
        </w:numPr>
        <w:spacing w:after="120"/>
        <w:contextualSpacing w:val="0"/>
      </w:pPr>
      <w:r>
        <w:t>If no stock is available, add 1 ml ddH</w:t>
      </w:r>
      <w:r>
        <w:rPr>
          <w:vertAlign w:val="subscript"/>
        </w:rPr>
        <w:t>2</w:t>
      </w:r>
      <w:r>
        <w:t xml:space="preserve">0 to a new 100 mg vial.  Close cap and vortex to mix thoroughly.  Transfer solution to a larger tube and bring up to 4 ml total.  Put 0.5 ml aliquots into </w:t>
      </w:r>
      <w:proofErr w:type="spellStart"/>
      <w:r>
        <w:t>microfuge</w:t>
      </w:r>
      <w:proofErr w:type="spellEnd"/>
      <w:r>
        <w:t xml:space="preserve"> tubes, label</w:t>
      </w:r>
      <w:r w:rsidR="00334406">
        <w:t>,</w:t>
      </w:r>
      <w:r>
        <w:t xml:space="preserve"> and store in freezer.</w:t>
      </w:r>
    </w:p>
    <w:p w:rsidR="00245E06" w:rsidRDefault="00245E06" w:rsidP="0035082B">
      <w:pPr>
        <w:pStyle w:val="ListParagraph"/>
        <w:numPr>
          <w:ilvl w:val="0"/>
          <w:numId w:val="3"/>
        </w:numPr>
        <w:spacing w:after="120"/>
        <w:contextualSpacing w:val="0"/>
      </w:pPr>
      <w:r>
        <w:t>Poke 4-6 holes in the food by pushing the wooden applicator into food, down to the bottom of the vial.</w:t>
      </w:r>
    </w:p>
    <w:p w:rsidR="00245E06" w:rsidRDefault="00245E06" w:rsidP="0035082B">
      <w:pPr>
        <w:pStyle w:val="ListParagraph"/>
        <w:numPr>
          <w:ilvl w:val="0"/>
          <w:numId w:val="3"/>
        </w:numPr>
        <w:spacing w:after="120"/>
        <w:contextualSpacing w:val="0"/>
      </w:pPr>
      <w:r>
        <w:t>Add the appropriate volume of G418 stock solution to each vial:</w:t>
      </w:r>
    </w:p>
    <w:p w:rsidR="00245E06" w:rsidRDefault="00245E06" w:rsidP="0035082B">
      <w:pPr>
        <w:pStyle w:val="ListParagraph"/>
        <w:numPr>
          <w:ilvl w:val="1"/>
          <w:numId w:val="3"/>
        </w:numPr>
        <w:spacing w:after="120"/>
        <w:contextualSpacing w:val="0"/>
      </w:pPr>
      <w:r>
        <w:t>100 µl of 25 mg/ml G418 per 10 ml of food in the vial</w:t>
      </w:r>
    </w:p>
    <w:p w:rsidR="00245E06" w:rsidRDefault="00245E06" w:rsidP="0035082B">
      <w:pPr>
        <w:pStyle w:val="ListParagraph"/>
        <w:numPr>
          <w:ilvl w:val="0"/>
          <w:numId w:val="3"/>
        </w:numPr>
        <w:spacing w:after="120"/>
        <w:contextualSpacing w:val="0"/>
      </w:pPr>
      <w:r>
        <w:t>Put vials, without plugs, in the chemical hood so that the excess liquid can absorb into food and/or evaporate.  It usually takes 1-2 hours for vials to dry.  Be careful not to over dry the vials!</w:t>
      </w:r>
    </w:p>
    <w:p w:rsidR="00B266BD" w:rsidRDefault="00262320" w:rsidP="0035082B">
      <w:pPr>
        <w:pStyle w:val="Heading3"/>
        <w:spacing w:after="120"/>
      </w:pPr>
      <w:r>
        <w:t>Procedure:</w:t>
      </w:r>
    </w:p>
    <w:p w:rsidR="00334406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>Set up a cross</w:t>
      </w:r>
      <w:r w:rsidR="00F838D1">
        <w:t xml:space="preserve"> on the neo-containing media</w:t>
      </w:r>
      <w:r>
        <w:t xml:space="preserve"> using 5-10 virgin heterozygous females and 3-6 males with the appropriate balancer.</w:t>
      </w:r>
    </w:p>
    <w:p w:rsidR="00F838D1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>Put</w:t>
      </w:r>
      <w:r w:rsidR="00C65BB9">
        <w:t xml:space="preserve"> flies from a stock that has hs-</w:t>
      </w:r>
      <w:proofErr w:type="spellStart"/>
      <w:r w:rsidR="00C65BB9">
        <w:t>neo</w:t>
      </w:r>
      <w:r w:rsidR="00C65BB9">
        <w:rPr>
          <w:vertAlign w:val="superscript"/>
        </w:rPr>
        <w:t>r</w:t>
      </w:r>
      <w:proofErr w:type="spellEnd"/>
      <w:r w:rsidR="00C65BB9">
        <w:t xml:space="preserve"> </w:t>
      </w:r>
      <w:r>
        <w:t xml:space="preserve">into one vial with food for the positive control and flies from a stock that lacks </w:t>
      </w:r>
      <w:r w:rsidR="00C65BB9">
        <w:t>hs-</w:t>
      </w:r>
      <w:proofErr w:type="spellStart"/>
      <w:r w:rsidR="00C65BB9">
        <w:t>neo</w:t>
      </w:r>
      <w:r w:rsidR="00C65BB9">
        <w:rPr>
          <w:vertAlign w:val="superscript"/>
        </w:rPr>
        <w:t>r</w:t>
      </w:r>
      <w:proofErr w:type="spellEnd"/>
      <w:r w:rsidR="00C65BB9">
        <w:t xml:space="preserve"> </w:t>
      </w:r>
      <w:r>
        <w:t xml:space="preserve">for the negative control.  </w:t>
      </w:r>
    </w:p>
    <w:p w:rsidR="00334406" w:rsidRDefault="00334406" w:rsidP="0035082B">
      <w:pPr>
        <w:pStyle w:val="ListParagraph"/>
        <w:numPr>
          <w:ilvl w:val="1"/>
          <w:numId w:val="5"/>
        </w:numPr>
        <w:spacing w:after="120"/>
        <w:contextualSpacing w:val="0"/>
      </w:pPr>
      <w:r>
        <w:t>The cleanest controls to use are th</w:t>
      </w:r>
      <w:r w:rsidR="00C65BB9">
        <w:t xml:space="preserve">e parents of the original cross.  </w:t>
      </w:r>
      <w:r>
        <w:t>DO NOT use FRT 101, 42B (also called G13), or 2A as positive controls as these FRTs do not contain a neo resistance gene.</w:t>
      </w:r>
    </w:p>
    <w:p w:rsidR="00334406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>Put cross at 25°C.</w:t>
      </w:r>
    </w:p>
    <w:p w:rsidR="00334406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>After 2-3 days, once many eggs are visible on the surface of the food in the vials, heat shock the vials (with or without the adults present) at 37°C for 1 hour 1-2 times per day everyday until you see pupae form on the sides of the vials.</w:t>
      </w:r>
    </w:p>
    <w:p w:rsidR="00334406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>Transfer adults to a new vial before the next generation begins to eclose.</w:t>
      </w:r>
    </w:p>
    <w:p w:rsidR="00334406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When the next generation </w:t>
      </w:r>
      <w:proofErr w:type="spellStart"/>
      <w:r>
        <w:t>ecloses</w:t>
      </w:r>
      <w:proofErr w:type="spellEnd"/>
      <w:r>
        <w:t>, check to make sure there was good survival in the positive control and no survival in the negative control.</w:t>
      </w:r>
    </w:p>
    <w:p w:rsidR="00334406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Collect the adults that eclose and select for the mutant phenotype (in many cases, the mutant allele will be marked with </w:t>
      </w:r>
      <w:proofErr w:type="spellStart"/>
      <w:r>
        <w:t>mW</w:t>
      </w:r>
      <w:proofErr w:type="spellEnd"/>
      <w:r>
        <w:rPr>
          <w:vertAlign w:val="superscript"/>
        </w:rPr>
        <w:t>+</w:t>
      </w:r>
      <w:r>
        <w:t>, allowing you to select for pink or red-eyed flies</w:t>
      </w:r>
      <w:r w:rsidR="00C65BB9">
        <w:t>)</w:t>
      </w:r>
      <w:r>
        <w:t xml:space="preserve">.  </w:t>
      </w:r>
    </w:p>
    <w:p w:rsidR="00B266BD" w:rsidRDefault="00334406" w:rsidP="0035082B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If flies </w:t>
      </w:r>
      <w:proofErr w:type="spellStart"/>
      <w:r>
        <w:t>eclosed</w:t>
      </w:r>
      <w:proofErr w:type="spellEnd"/>
      <w:r>
        <w:t xml:space="preserve"> in the negative control vial, you cannot be confident that the selection worked efficiently.  Therefore, you either have to set it up again, or select for </w:t>
      </w:r>
      <w:r w:rsidR="00BD39DD">
        <w:t>the FRT</w:t>
      </w:r>
      <w:r>
        <w:t xml:space="preserve"> by PCR.  The second option can be a good choice if your mutation is more than ~20 map units from the FRT because it is likely that many of the flies recovered are recombinants.  (Map unit positions of genes can be found in the gene reports on </w:t>
      </w:r>
      <w:proofErr w:type="spellStart"/>
      <w:r>
        <w:t>flybase</w:t>
      </w:r>
      <w:proofErr w:type="spellEnd"/>
      <w:r>
        <w:t xml:space="preserve">).  </w:t>
      </w:r>
    </w:p>
    <w:p w:rsidR="00B266BD" w:rsidRPr="00B266BD" w:rsidRDefault="00B266BD" w:rsidP="00B266BD"/>
    <w:p w:rsidR="00F1412F" w:rsidRPr="00B266BD" w:rsidRDefault="00F1412F" w:rsidP="00F1412F">
      <w:pPr>
        <w:rPr>
          <w:rFonts w:asciiTheme="majorHAnsi" w:hAnsiTheme="majorHAnsi"/>
        </w:rPr>
      </w:pPr>
    </w:p>
    <w:sectPr w:rsidR="00F1412F" w:rsidRPr="00B266BD" w:rsidSect="00F141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960"/>
    <w:multiLevelType w:val="hybridMultilevel"/>
    <w:tmpl w:val="3F4A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50A9"/>
    <w:multiLevelType w:val="multilevel"/>
    <w:tmpl w:val="3F4A4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400A"/>
    <w:multiLevelType w:val="hybridMultilevel"/>
    <w:tmpl w:val="0B28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643A"/>
    <w:multiLevelType w:val="multilevel"/>
    <w:tmpl w:val="0B285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5D97"/>
    <w:multiLevelType w:val="hybridMultilevel"/>
    <w:tmpl w:val="7618E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1412F"/>
    <w:rsid w:val="00025125"/>
    <w:rsid w:val="001F7358"/>
    <w:rsid w:val="00245E06"/>
    <w:rsid w:val="00262320"/>
    <w:rsid w:val="002B5030"/>
    <w:rsid w:val="00334406"/>
    <w:rsid w:val="0035082B"/>
    <w:rsid w:val="0037749B"/>
    <w:rsid w:val="003A3C63"/>
    <w:rsid w:val="00487032"/>
    <w:rsid w:val="00734E20"/>
    <w:rsid w:val="00951827"/>
    <w:rsid w:val="00B266BD"/>
    <w:rsid w:val="00B3608E"/>
    <w:rsid w:val="00BD39DD"/>
    <w:rsid w:val="00C03508"/>
    <w:rsid w:val="00C65BB9"/>
    <w:rsid w:val="00E750A4"/>
    <w:rsid w:val="00F1412F"/>
    <w:rsid w:val="00F838D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86"/>
  </w:style>
  <w:style w:type="paragraph" w:styleId="Heading1">
    <w:name w:val="heading 1"/>
    <w:basedOn w:val="Normal"/>
    <w:next w:val="Normal"/>
    <w:link w:val="Heading1Char"/>
    <w:uiPriority w:val="9"/>
    <w:qFormat/>
    <w:rsid w:val="00B26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1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6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4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66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66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266BD"/>
    <w:pPr>
      <w:ind w:left="720"/>
      <w:contextualSpacing/>
    </w:pPr>
  </w:style>
  <w:style w:type="table" w:styleId="TableGrid">
    <w:name w:val="Table Grid"/>
    <w:basedOn w:val="TableNormal"/>
    <w:uiPriority w:val="59"/>
    <w:rsid w:val="00734E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522</Words>
  <Characters>2980</Characters>
  <Application>Microsoft Macintosh Word</Application>
  <DocSecurity>0</DocSecurity>
  <Lines>24</Lines>
  <Paragraphs>5</Paragraphs>
  <ScaleCrop>false</ScaleCrop>
  <Company>UCSF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Nystul</dc:creator>
  <cp:keywords/>
  <cp:lastModifiedBy>Todd Nystul</cp:lastModifiedBy>
  <cp:revision>8</cp:revision>
  <cp:lastPrinted>2010-08-02T22:54:00Z</cp:lastPrinted>
  <dcterms:created xsi:type="dcterms:W3CDTF">2010-07-30T18:23:00Z</dcterms:created>
  <dcterms:modified xsi:type="dcterms:W3CDTF">2010-08-03T00:07:00Z</dcterms:modified>
</cp:coreProperties>
</file>